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0BD84" w14:textId="694C58CE" w:rsidR="00621F73" w:rsidRPr="00C87891" w:rsidRDefault="001718C8" w:rsidP="00266397">
      <w:pPr>
        <w:pStyle w:val="Title"/>
      </w:pPr>
      <w:r>
        <w:t xml:space="preserve">Annex </w:t>
      </w:r>
      <w:r w:rsidR="0075650B">
        <w:t>3:</w:t>
      </w:r>
      <w:r>
        <w:t xml:space="preserve"> </w:t>
      </w:r>
      <w:r w:rsidR="00266397" w:rsidRPr="00C87891">
        <w:t xml:space="preserve">Policy </w:t>
      </w:r>
      <w:r w:rsidR="000946B9" w:rsidRPr="00C87891">
        <w:t xml:space="preserve">on </w:t>
      </w:r>
      <w:r w:rsidR="00D67CEF" w:rsidRPr="00C87891">
        <w:t>A</w:t>
      </w:r>
      <w:r w:rsidR="000946B9" w:rsidRPr="00C87891">
        <w:t xml:space="preserve">ccounting and </w:t>
      </w:r>
      <w:r w:rsidR="00D67CEF" w:rsidRPr="00C87891">
        <w:t>S</w:t>
      </w:r>
      <w:r w:rsidR="000946B9" w:rsidRPr="00C87891">
        <w:t>ettlement</w:t>
      </w:r>
    </w:p>
    <w:tbl>
      <w:tblPr>
        <w:tblW w:w="9274" w:type="dxa"/>
        <w:tblInd w:w="101" w:type="dxa"/>
        <w:tblLayout w:type="fixed"/>
        <w:tblCellMar>
          <w:left w:w="0" w:type="dxa"/>
          <w:right w:w="0" w:type="dxa"/>
        </w:tblCellMar>
        <w:tblLook w:val="01E0" w:firstRow="1" w:lastRow="1" w:firstColumn="1" w:lastColumn="1" w:noHBand="0" w:noVBand="0"/>
      </w:tblPr>
      <w:tblGrid>
        <w:gridCol w:w="705"/>
        <w:gridCol w:w="781"/>
        <w:gridCol w:w="1342"/>
        <w:gridCol w:w="3167"/>
        <w:gridCol w:w="3279"/>
      </w:tblGrid>
      <w:tr w:rsidR="00F82CA9" w:rsidRPr="00C87891" w14:paraId="7844E3D7" w14:textId="77777777" w:rsidTr="003F4575">
        <w:trPr>
          <w:trHeight w:hRule="exact" w:val="420"/>
        </w:trPr>
        <w:tc>
          <w:tcPr>
            <w:tcW w:w="705" w:type="dxa"/>
            <w:tcBorders>
              <w:top w:val="nil"/>
              <w:left w:val="nil"/>
              <w:bottom w:val="nil"/>
              <w:right w:val="nil"/>
            </w:tcBorders>
          </w:tcPr>
          <w:p w14:paraId="1E135223" w14:textId="77777777" w:rsidR="00F82CA9" w:rsidRPr="00C87891" w:rsidRDefault="00F82CA9" w:rsidP="00F6180B">
            <w:pPr>
              <w:jc w:val="left"/>
              <w:rPr>
                <w:rFonts w:ascii="Arial" w:eastAsia="Arial" w:hAnsi="Arial" w:cs="Arial"/>
                <w:b/>
              </w:rPr>
            </w:pPr>
          </w:p>
        </w:tc>
        <w:tc>
          <w:tcPr>
            <w:tcW w:w="781" w:type="dxa"/>
            <w:tcBorders>
              <w:top w:val="nil"/>
              <w:left w:val="nil"/>
              <w:bottom w:val="nil"/>
              <w:right w:val="nil"/>
            </w:tcBorders>
          </w:tcPr>
          <w:p w14:paraId="6642D2BE" w14:textId="77777777" w:rsidR="00F82CA9" w:rsidRPr="00C87891" w:rsidRDefault="00F82CA9" w:rsidP="00F82CA9">
            <w:pPr>
              <w:spacing w:before="71" w:after="0" w:line="240" w:lineRule="auto"/>
              <w:ind w:left="134" w:right="-20"/>
              <w:rPr>
                <w:rFonts w:ascii="Arial" w:eastAsia="Arial" w:hAnsi="Arial" w:cs="Arial"/>
                <w:b/>
                <w:bCs/>
              </w:rPr>
            </w:pPr>
          </w:p>
        </w:tc>
        <w:tc>
          <w:tcPr>
            <w:tcW w:w="1342" w:type="dxa"/>
            <w:tcBorders>
              <w:top w:val="nil"/>
              <w:left w:val="nil"/>
              <w:bottom w:val="nil"/>
              <w:right w:val="nil"/>
            </w:tcBorders>
          </w:tcPr>
          <w:p w14:paraId="2C9BAE8C" w14:textId="77777777" w:rsidR="00F82CA9" w:rsidRPr="00C87891" w:rsidRDefault="00F82CA9" w:rsidP="00F82CA9">
            <w:pPr>
              <w:spacing w:before="71" w:after="0" w:line="240" w:lineRule="auto"/>
              <w:ind w:left="73" w:right="-20"/>
              <w:rPr>
                <w:rFonts w:ascii="Arial" w:eastAsia="Arial" w:hAnsi="Arial" w:cs="Arial"/>
                <w:b/>
              </w:rPr>
            </w:pPr>
          </w:p>
        </w:tc>
        <w:tc>
          <w:tcPr>
            <w:tcW w:w="3167" w:type="dxa"/>
            <w:tcBorders>
              <w:top w:val="nil"/>
              <w:left w:val="nil"/>
              <w:bottom w:val="nil"/>
              <w:right w:val="nil"/>
            </w:tcBorders>
          </w:tcPr>
          <w:p w14:paraId="6B83FD6F" w14:textId="77777777" w:rsidR="00F82CA9" w:rsidRPr="00C87891" w:rsidRDefault="00F82CA9" w:rsidP="00F82CA9">
            <w:pPr>
              <w:spacing w:before="71" w:after="0" w:line="240" w:lineRule="auto"/>
              <w:ind w:left="169" w:right="-20"/>
              <w:rPr>
                <w:rFonts w:ascii="Arial" w:eastAsia="Arial" w:hAnsi="Arial" w:cs="Arial"/>
                <w:b/>
              </w:rPr>
            </w:pPr>
          </w:p>
        </w:tc>
        <w:tc>
          <w:tcPr>
            <w:tcW w:w="3279" w:type="dxa"/>
            <w:tcBorders>
              <w:top w:val="nil"/>
              <w:left w:val="nil"/>
              <w:bottom w:val="nil"/>
              <w:right w:val="nil"/>
            </w:tcBorders>
          </w:tcPr>
          <w:p w14:paraId="419E7D97" w14:textId="77777777" w:rsidR="00F82CA9" w:rsidRPr="00C87891" w:rsidRDefault="00F82CA9" w:rsidP="00F82CA9">
            <w:pPr>
              <w:spacing w:before="71" w:after="0" w:line="240" w:lineRule="auto"/>
              <w:ind w:left="231" w:right="-20"/>
              <w:rPr>
                <w:rFonts w:ascii="Arial" w:eastAsia="Arial" w:hAnsi="Arial" w:cs="Arial"/>
                <w:b/>
              </w:rPr>
            </w:pPr>
          </w:p>
        </w:tc>
      </w:tr>
      <w:tr w:rsidR="00F82CA9" w:rsidRPr="00C87891" w14:paraId="7D3164EF" w14:textId="77777777" w:rsidTr="003F4575">
        <w:trPr>
          <w:trHeight w:hRule="exact" w:val="420"/>
        </w:trPr>
        <w:tc>
          <w:tcPr>
            <w:tcW w:w="705" w:type="dxa"/>
            <w:tcBorders>
              <w:top w:val="nil"/>
              <w:left w:val="nil"/>
              <w:bottom w:val="nil"/>
              <w:right w:val="nil"/>
            </w:tcBorders>
          </w:tcPr>
          <w:p w14:paraId="05E5B515"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58609169"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0BB75E7C"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14B07FC2"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5221FE9B" w14:textId="77777777" w:rsidR="00F82CA9" w:rsidRPr="00C87891" w:rsidRDefault="00F82CA9" w:rsidP="00F82CA9">
            <w:pPr>
              <w:spacing w:before="71" w:after="0" w:line="240" w:lineRule="auto"/>
              <w:ind w:left="231" w:right="-20"/>
              <w:rPr>
                <w:rFonts w:ascii="Arial" w:eastAsia="Arial" w:hAnsi="Arial" w:cs="Arial"/>
              </w:rPr>
            </w:pPr>
          </w:p>
        </w:tc>
      </w:tr>
      <w:tr w:rsidR="00F82CA9" w:rsidRPr="00C87891" w14:paraId="68DBCB23" w14:textId="77777777" w:rsidTr="003F4575">
        <w:trPr>
          <w:trHeight w:hRule="exact" w:val="420"/>
        </w:trPr>
        <w:tc>
          <w:tcPr>
            <w:tcW w:w="705" w:type="dxa"/>
            <w:tcBorders>
              <w:top w:val="nil"/>
              <w:left w:val="nil"/>
              <w:bottom w:val="nil"/>
              <w:right w:val="nil"/>
            </w:tcBorders>
          </w:tcPr>
          <w:p w14:paraId="6AFA22DA"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1917F31E"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46D68B5B"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2FAD0A83"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1C78FF03" w14:textId="77777777" w:rsidR="00F82CA9" w:rsidRPr="00C87891" w:rsidRDefault="00F82CA9" w:rsidP="00F82CA9">
            <w:pPr>
              <w:spacing w:before="71" w:after="0" w:line="240" w:lineRule="auto"/>
              <w:ind w:left="231" w:right="-20"/>
              <w:rPr>
                <w:rFonts w:ascii="Arial" w:eastAsia="Arial" w:hAnsi="Arial" w:cs="Arial"/>
              </w:rPr>
            </w:pPr>
          </w:p>
        </w:tc>
      </w:tr>
      <w:tr w:rsidR="00F82CA9" w:rsidRPr="00C87891" w14:paraId="5A184AA6" w14:textId="77777777" w:rsidTr="003F4575">
        <w:trPr>
          <w:trHeight w:hRule="exact" w:val="420"/>
        </w:trPr>
        <w:tc>
          <w:tcPr>
            <w:tcW w:w="705" w:type="dxa"/>
            <w:tcBorders>
              <w:top w:val="nil"/>
              <w:left w:val="nil"/>
              <w:bottom w:val="nil"/>
              <w:right w:val="nil"/>
            </w:tcBorders>
          </w:tcPr>
          <w:p w14:paraId="530CEEA2"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322B8C6D"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4BB707B1"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47AEDFD3"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1ACD8948" w14:textId="77777777" w:rsidR="00F82CA9" w:rsidRPr="00C87891" w:rsidRDefault="00F82CA9" w:rsidP="00F82CA9">
            <w:pPr>
              <w:spacing w:before="71" w:after="0" w:line="240" w:lineRule="auto"/>
              <w:ind w:left="231" w:right="-20"/>
              <w:rPr>
                <w:rFonts w:ascii="Arial" w:eastAsia="Arial" w:hAnsi="Arial" w:cs="Arial"/>
              </w:rPr>
            </w:pPr>
          </w:p>
        </w:tc>
      </w:tr>
      <w:tr w:rsidR="00F82CA9" w:rsidRPr="00C87891" w14:paraId="4474C45B" w14:textId="77777777" w:rsidTr="003F4575">
        <w:trPr>
          <w:trHeight w:hRule="exact" w:val="420"/>
        </w:trPr>
        <w:tc>
          <w:tcPr>
            <w:tcW w:w="705" w:type="dxa"/>
            <w:tcBorders>
              <w:top w:val="nil"/>
              <w:left w:val="nil"/>
              <w:bottom w:val="nil"/>
              <w:right w:val="nil"/>
            </w:tcBorders>
          </w:tcPr>
          <w:p w14:paraId="70F4A4AF"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745EBA5E"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71209E75"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0B6BE784"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459D73EA" w14:textId="77777777" w:rsidR="00F82CA9" w:rsidRPr="00C87891" w:rsidRDefault="00F82CA9" w:rsidP="00F82CA9">
            <w:pPr>
              <w:spacing w:before="71" w:after="0" w:line="240" w:lineRule="auto"/>
              <w:ind w:left="231" w:right="-20"/>
              <w:rPr>
                <w:rFonts w:ascii="Arial" w:eastAsia="Arial" w:hAnsi="Arial" w:cs="Arial"/>
              </w:rPr>
            </w:pPr>
          </w:p>
        </w:tc>
      </w:tr>
      <w:tr w:rsidR="00F82CA9" w:rsidRPr="00C87891" w14:paraId="3E7B1C97" w14:textId="77777777" w:rsidTr="003F4575">
        <w:trPr>
          <w:trHeight w:hRule="exact" w:val="420"/>
        </w:trPr>
        <w:tc>
          <w:tcPr>
            <w:tcW w:w="705" w:type="dxa"/>
            <w:tcBorders>
              <w:top w:val="nil"/>
              <w:left w:val="nil"/>
              <w:bottom w:val="nil"/>
              <w:right w:val="nil"/>
            </w:tcBorders>
          </w:tcPr>
          <w:p w14:paraId="4E9DA38F"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10989040"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47E29EEC"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5BF79C00"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452884CA" w14:textId="77777777" w:rsidR="00F82CA9" w:rsidRPr="00C87891" w:rsidRDefault="00F82CA9" w:rsidP="00F82CA9">
            <w:pPr>
              <w:spacing w:before="71" w:after="0" w:line="240" w:lineRule="auto"/>
              <w:ind w:left="232" w:right="-20"/>
              <w:rPr>
                <w:rFonts w:ascii="Arial" w:eastAsia="Arial" w:hAnsi="Arial" w:cs="Arial"/>
              </w:rPr>
            </w:pPr>
          </w:p>
        </w:tc>
      </w:tr>
      <w:tr w:rsidR="00F82CA9" w:rsidRPr="00C87891" w14:paraId="47350C1E" w14:textId="77777777" w:rsidTr="003F4575">
        <w:trPr>
          <w:trHeight w:hRule="exact" w:val="420"/>
        </w:trPr>
        <w:tc>
          <w:tcPr>
            <w:tcW w:w="705" w:type="dxa"/>
            <w:tcBorders>
              <w:top w:val="nil"/>
              <w:left w:val="nil"/>
              <w:bottom w:val="nil"/>
              <w:right w:val="nil"/>
            </w:tcBorders>
          </w:tcPr>
          <w:p w14:paraId="14049337"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0E906DF7"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55D74D0F"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3FB4185C"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7B174813" w14:textId="77777777" w:rsidR="00F82CA9" w:rsidRPr="00C87891" w:rsidRDefault="00F82CA9" w:rsidP="00F82CA9">
            <w:pPr>
              <w:spacing w:before="71" w:after="0" w:line="240" w:lineRule="auto"/>
              <w:ind w:left="232" w:right="-20"/>
              <w:rPr>
                <w:rFonts w:ascii="Arial" w:eastAsia="Arial" w:hAnsi="Arial" w:cs="Arial"/>
              </w:rPr>
            </w:pPr>
          </w:p>
        </w:tc>
      </w:tr>
      <w:tr w:rsidR="00F82CA9" w:rsidRPr="00C87891" w14:paraId="05A3F067" w14:textId="77777777" w:rsidTr="003F4575">
        <w:trPr>
          <w:trHeight w:hRule="exact" w:val="420"/>
        </w:trPr>
        <w:tc>
          <w:tcPr>
            <w:tcW w:w="705" w:type="dxa"/>
            <w:tcBorders>
              <w:top w:val="nil"/>
              <w:left w:val="nil"/>
              <w:bottom w:val="nil"/>
              <w:right w:val="nil"/>
            </w:tcBorders>
          </w:tcPr>
          <w:p w14:paraId="591EC79E"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0CDCE7BF"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11B33AB8"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23E05E64"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7191E8FC" w14:textId="77777777" w:rsidR="00F82CA9" w:rsidRPr="00C87891" w:rsidRDefault="00F82CA9" w:rsidP="00F82CA9">
            <w:pPr>
              <w:spacing w:before="71" w:after="0" w:line="240" w:lineRule="auto"/>
              <w:ind w:left="232" w:right="-20"/>
              <w:rPr>
                <w:rFonts w:ascii="Arial" w:eastAsia="Arial" w:hAnsi="Arial" w:cs="Arial"/>
              </w:rPr>
            </w:pPr>
          </w:p>
        </w:tc>
      </w:tr>
      <w:tr w:rsidR="00F82CA9" w:rsidRPr="00C87891" w14:paraId="37F91B94" w14:textId="77777777" w:rsidTr="003F4575">
        <w:trPr>
          <w:trHeight w:hRule="exact" w:val="1204"/>
        </w:trPr>
        <w:tc>
          <w:tcPr>
            <w:tcW w:w="705" w:type="dxa"/>
            <w:tcBorders>
              <w:top w:val="nil"/>
              <w:left w:val="nil"/>
              <w:bottom w:val="nil"/>
              <w:right w:val="nil"/>
            </w:tcBorders>
          </w:tcPr>
          <w:p w14:paraId="7D4A65C6" w14:textId="77777777" w:rsidR="00F82CA9" w:rsidRPr="00C87891" w:rsidRDefault="00F82CA9" w:rsidP="00F82CA9">
            <w:pPr>
              <w:spacing w:before="71" w:after="0" w:line="240" w:lineRule="auto"/>
              <w:ind w:left="119" w:right="-20"/>
              <w:rPr>
                <w:rFonts w:ascii="Arial" w:eastAsia="Arial" w:hAnsi="Arial" w:cs="Arial"/>
                <w:b/>
                <w:bCs/>
              </w:rPr>
            </w:pPr>
          </w:p>
        </w:tc>
        <w:tc>
          <w:tcPr>
            <w:tcW w:w="781" w:type="dxa"/>
            <w:tcBorders>
              <w:top w:val="nil"/>
              <w:left w:val="nil"/>
              <w:bottom w:val="nil"/>
              <w:right w:val="nil"/>
            </w:tcBorders>
          </w:tcPr>
          <w:p w14:paraId="2A2F4C46" w14:textId="77777777" w:rsidR="00F82CA9" w:rsidRPr="00C87891" w:rsidRDefault="00F82CA9" w:rsidP="00F82CA9">
            <w:pPr>
              <w:spacing w:before="71" w:after="0" w:line="240" w:lineRule="auto"/>
              <w:ind w:left="134" w:right="-20"/>
              <w:rPr>
                <w:rFonts w:ascii="Arial" w:eastAsia="Arial" w:hAnsi="Arial" w:cs="Arial"/>
                <w:b/>
                <w:bCs/>
              </w:rPr>
            </w:pPr>
          </w:p>
        </w:tc>
        <w:tc>
          <w:tcPr>
            <w:tcW w:w="1342" w:type="dxa"/>
            <w:tcBorders>
              <w:top w:val="nil"/>
              <w:left w:val="nil"/>
              <w:bottom w:val="nil"/>
              <w:right w:val="nil"/>
            </w:tcBorders>
          </w:tcPr>
          <w:p w14:paraId="738DF045" w14:textId="77777777" w:rsidR="00F82CA9" w:rsidRPr="00C87891" w:rsidRDefault="00F82CA9" w:rsidP="00F82CA9">
            <w:pPr>
              <w:spacing w:before="71" w:after="0" w:line="240" w:lineRule="auto"/>
              <w:ind w:left="73" w:right="-20"/>
              <w:rPr>
                <w:rFonts w:ascii="Arial" w:eastAsia="Arial" w:hAnsi="Arial" w:cs="Arial"/>
                <w:b/>
                <w:bCs/>
              </w:rPr>
            </w:pPr>
          </w:p>
        </w:tc>
        <w:tc>
          <w:tcPr>
            <w:tcW w:w="3167" w:type="dxa"/>
            <w:tcBorders>
              <w:top w:val="nil"/>
              <w:left w:val="nil"/>
              <w:bottom w:val="nil"/>
              <w:right w:val="nil"/>
            </w:tcBorders>
          </w:tcPr>
          <w:p w14:paraId="274774EA" w14:textId="77777777" w:rsidR="00F82CA9" w:rsidRPr="00C87891" w:rsidRDefault="00F82CA9" w:rsidP="00F82CA9">
            <w:pPr>
              <w:spacing w:before="71" w:after="0" w:line="240" w:lineRule="auto"/>
              <w:ind w:left="169" w:right="-20"/>
              <w:rPr>
                <w:rFonts w:ascii="Arial" w:eastAsia="Arial" w:hAnsi="Arial" w:cs="Arial"/>
                <w:b/>
                <w:bCs/>
              </w:rPr>
            </w:pPr>
          </w:p>
        </w:tc>
        <w:tc>
          <w:tcPr>
            <w:tcW w:w="3279" w:type="dxa"/>
            <w:tcBorders>
              <w:top w:val="nil"/>
              <w:left w:val="nil"/>
              <w:bottom w:val="nil"/>
              <w:right w:val="nil"/>
            </w:tcBorders>
          </w:tcPr>
          <w:p w14:paraId="7B5CF392" w14:textId="77777777" w:rsidR="00F82CA9" w:rsidRPr="00C87891" w:rsidRDefault="00F82CA9" w:rsidP="00F82CA9">
            <w:pPr>
              <w:spacing w:before="71" w:after="0" w:line="240" w:lineRule="auto"/>
              <w:ind w:left="232" w:right="-20"/>
              <w:rPr>
                <w:rFonts w:ascii="Arial" w:eastAsia="Arial" w:hAnsi="Arial" w:cs="Arial"/>
                <w:b/>
                <w:bCs/>
              </w:rPr>
            </w:pPr>
          </w:p>
        </w:tc>
      </w:tr>
    </w:tbl>
    <w:p w14:paraId="6AA3DA33" w14:textId="77777777" w:rsidR="00C73E32" w:rsidRPr="00C87891" w:rsidRDefault="00C73E32" w:rsidP="00C73E32"/>
    <w:sdt>
      <w:sdtPr>
        <w:rPr>
          <w:rFonts w:asciiTheme="minorHAnsi" w:eastAsiaTheme="minorEastAsia" w:hAnsiTheme="minorHAnsi" w:cstheme="minorBidi"/>
          <w:b w:val="0"/>
          <w:bCs w:val="0"/>
          <w:smallCaps w:val="0"/>
          <w:color w:val="auto"/>
          <w:sz w:val="22"/>
          <w:szCs w:val="22"/>
        </w:rPr>
        <w:id w:val="542486549"/>
        <w:docPartObj>
          <w:docPartGallery w:val="Table of Contents"/>
          <w:docPartUnique/>
        </w:docPartObj>
      </w:sdtPr>
      <w:sdtEndPr/>
      <w:sdtContent>
        <w:p w14:paraId="2AF6C3C6" w14:textId="77777777" w:rsidR="00266397" w:rsidRPr="00C87891" w:rsidRDefault="00266397">
          <w:pPr>
            <w:pStyle w:val="TOCHeading"/>
          </w:pPr>
          <w:r w:rsidRPr="00C87891">
            <w:t>Table of Contents</w:t>
          </w:r>
        </w:p>
        <w:p w14:paraId="09665959" w14:textId="7CDB88D7" w:rsidR="00394B4C" w:rsidRDefault="00F45947">
          <w:pPr>
            <w:pStyle w:val="TOC1"/>
            <w:rPr>
              <w:noProof/>
              <w:lang w:eastAsia="en-GB"/>
            </w:rPr>
          </w:pPr>
          <w:r w:rsidRPr="00C87891">
            <w:fldChar w:fldCharType="begin"/>
          </w:r>
          <w:r w:rsidR="00266397" w:rsidRPr="00C87891">
            <w:instrText xml:space="preserve"> TOC \o "1-3" \h \z \u </w:instrText>
          </w:r>
          <w:r w:rsidRPr="00C87891">
            <w:fldChar w:fldCharType="separate"/>
          </w:r>
          <w:hyperlink w:anchor="_Toc90297775" w:history="1">
            <w:r w:rsidR="00394B4C" w:rsidRPr="00D20ADD">
              <w:rPr>
                <w:rStyle w:val="Hyperlink"/>
                <w:noProof/>
              </w:rPr>
              <w:t>Introduction</w:t>
            </w:r>
            <w:r w:rsidR="00394B4C">
              <w:rPr>
                <w:noProof/>
                <w:webHidden/>
              </w:rPr>
              <w:tab/>
            </w:r>
            <w:r w:rsidR="00394B4C">
              <w:rPr>
                <w:noProof/>
                <w:webHidden/>
              </w:rPr>
              <w:fldChar w:fldCharType="begin"/>
            </w:r>
            <w:r w:rsidR="00394B4C">
              <w:rPr>
                <w:noProof/>
                <w:webHidden/>
              </w:rPr>
              <w:instrText xml:space="preserve"> PAGEREF _Toc90297775 \h </w:instrText>
            </w:r>
            <w:r w:rsidR="00394B4C">
              <w:rPr>
                <w:noProof/>
                <w:webHidden/>
              </w:rPr>
            </w:r>
            <w:r w:rsidR="00394B4C">
              <w:rPr>
                <w:noProof/>
                <w:webHidden/>
              </w:rPr>
              <w:fldChar w:fldCharType="separate"/>
            </w:r>
            <w:r w:rsidR="00394B4C">
              <w:rPr>
                <w:noProof/>
                <w:webHidden/>
              </w:rPr>
              <w:t>4</w:t>
            </w:r>
            <w:r w:rsidR="00394B4C">
              <w:rPr>
                <w:noProof/>
                <w:webHidden/>
              </w:rPr>
              <w:fldChar w:fldCharType="end"/>
            </w:r>
          </w:hyperlink>
        </w:p>
        <w:p w14:paraId="367E6BD9" w14:textId="4C4E91AE" w:rsidR="00394B4C" w:rsidRDefault="00394B4C">
          <w:pPr>
            <w:pStyle w:val="TOC1"/>
            <w:rPr>
              <w:noProof/>
              <w:lang w:eastAsia="en-GB"/>
            </w:rPr>
          </w:pPr>
          <w:hyperlink w:anchor="_Toc90297776" w:history="1">
            <w:r w:rsidRPr="00D20ADD">
              <w:rPr>
                <w:rStyle w:val="Hyperlink"/>
                <w:noProof/>
              </w:rPr>
              <w:t>A</w:t>
            </w:r>
            <w:r>
              <w:rPr>
                <w:noProof/>
                <w:lang w:eastAsia="en-GB"/>
              </w:rPr>
              <w:tab/>
            </w:r>
            <w:r w:rsidRPr="00D20ADD">
              <w:rPr>
                <w:rStyle w:val="Hyperlink"/>
                <w:noProof/>
              </w:rPr>
              <w:t>Methodologies, conditions and values subject to all regulatory authorities approval</w:t>
            </w:r>
            <w:r>
              <w:rPr>
                <w:noProof/>
                <w:webHidden/>
              </w:rPr>
              <w:tab/>
            </w:r>
            <w:r>
              <w:rPr>
                <w:noProof/>
                <w:webHidden/>
              </w:rPr>
              <w:fldChar w:fldCharType="begin"/>
            </w:r>
            <w:r>
              <w:rPr>
                <w:noProof/>
                <w:webHidden/>
              </w:rPr>
              <w:instrText xml:space="preserve"> PAGEREF _Toc90297776 \h </w:instrText>
            </w:r>
            <w:r>
              <w:rPr>
                <w:noProof/>
                <w:webHidden/>
              </w:rPr>
            </w:r>
            <w:r>
              <w:rPr>
                <w:noProof/>
                <w:webHidden/>
              </w:rPr>
              <w:fldChar w:fldCharType="separate"/>
            </w:r>
            <w:r>
              <w:rPr>
                <w:noProof/>
                <w:webHidden/>
              </w:rPr>
              <w:t>5</w:t>
            </w:r>
            <w:r>
              <w:rPr>
                <w:noProof/>
                <w:webHidden/>
              </w:rPr>
              <w:fldChar w:fldCharType="end"/>
            </w:r>
          </w:hyperlink>
        </w:p>
        <w:p w14:paraId="2AFC265F" w14:textId="623BFDF1" w:rsidR="00394B4C" w:rsidRDefault="00394B4C">
          <w:pPr>
            <w:pStyle w:val="TOC2"/>
            <w:rPr>
              <w:noProof/>
              <w:lang w:eastAsia="en-GB"/>
            </w:rPr>
          </w:pPr>
          <w:hyperlink w:anchor="_Toc90297777" w:history="1">
            <w:r w:rsidRPr="00D20ADD">
              <w:rPr>
                <w:rStyle w:val="Hyperlink"/>
                <w:noProof/>
                <w:lang w:eastAsia="de-DE"/>
              </w:rPr>
              <w:t>A-1</w:t>
            </w:r>
            <w:r>
              <w:rPr>
                <w:noProof/>
                <w:lang w:eastAsia="en-GB"/>
              </w:rPr>
              <w:tab/>
            </w:r>
            <w:r w:rsidRPr="00D20ADD">
              <w:rPr>
                <w:rStyle w:val="Hyperlink"/>
                <w:noProof/>
                <w:lang w:eastAsia="de-DE"/>
              </w:rPr>
              <w:t>Common settlement rules applicable to intended exchanges of energy according to Article 50(3) EBGL (mandatory &amp; NRA approval)</w:t>
            </w:r>
            <w:r>
              <w:rPr>
                <w:noProof/>
                <w:webHidden/>
              </w:rPr>
              <w:tab/>
            </w:r>
            <w:r>
              <w:rPr>
                <w:noProof/>
                <w:webHidden/>
              </w:rPr>
              <w:fldChar w:fldCharType="begin"/>
            </w:r>
            <w:r>
              <w:rPr>
                <w:noProof/>
                <w:webHidden/>
              </w:rPr>
              <w:instrText xml:space="preserve"> PAGEREF _Toc90297777 \h </w:instrText>
            </w:r>
            <w:r>
              <w:rPr>
                <w:noProof/>
                <w:webHidden/>
              </w:rPr>
            </w:r>
            <w:r>
              <w:rPr>
                <w:noProof/>
                <w:webHidden/>
              </w:rPr>
              <w:fldChar w:fldCharType="separate"/>
            </w:r>
            <w:r>
              <w:rPr>
                <w:noProof/>
                <w:webHidden/>
              </w:rPr>
              <w:t>5</w:t>
            </w:r>
            <w:r>
              <w:rPr>
                <w:noProof/>
                <w:webHidden/>
              </w:rPr>
              <w:fldChar w:fldCharType="end"/>
            </w:r>
          </w:hyperlink>
        </w:p>
        <w:p w14:paraId="2658C961" w14:textId="19EAA1F5" w:rsidR="00394B4C" w:rsidRDefault="00394B4C">
          <w:pPr>
            <w:pStyle w:val="TOC2"/>
            <w:rPr>
              <w:noProof/>
              <w:lang w:eastAsia="en-GB"/>
            </w:rPr>
          </w:pPr>
          <w:hyperlink w:anchor="_Toc90297778" w:history="1">
            <w:r w:rsidRPr="00D20ADD">
              <w:rPr>
                <w:rStyle w:val="Hyperlink"/>
                <w:noProof/>
                <w:lang w:eastAsia="de-DE"/>
              </w:rPr>
              <w:t>A-2</w:t>
            </w:r>
            <w:r>
              <w:rPr>
                <w:noProof/>
                <w:lang w:eastAsia="en-GB"/>
              </w:rPr>
              <w:tab/>
            </w:r>
            <w:r w:rsidRPr="00D20ADD">
              <w:rPr>
                <w:rStyle w:val="Hyperlink"/>
                <w:noProof/>
                <w:lang w:eastAsia="de-DE"/>
              </w:rPr>
              <w:t>Common settlement rules applicable to all unintended exchanges of energy according to Article 51(1) EBGL (mandatory &amp; NRA approval)</w:t>
            </w:r>
            <w:r>
              <w:rPr>
                <w:noProof/>
                <w:webHidden/>
              </w:rPr>
              <w:tab/>
            </w:r>
            <w:r>
              <w:rPr>
                <w:noProof/>
                <w:webHidden/>
              </w:rPr>
              <w:fldChar w:fldCharType="begin"/>
            </w:r>
            <w:r>
              <w:rPr>
                <w:noProof/>
                <w:webHidden/>
              </w:rPr>
              <w:instrText xml:space="preserve"> PAGEREF _Toc90297778 \h </w:instrText>
            </w:r>
            <w:r>
              <w:rPr>
                <w:noProof/>
                <w:webHidden/>
              </w:rPr>
            </w:r>
            <w:r>
              <w:rPr>
                <w:noProof/>
                <w:webHidden/>
              </w:rPr>
              <w:fldChar w:fldCharType="separate"/>
            </w:r>
            <w:r>
              <w:rPr>
                <w:noProof/>
                <w:webHidden/>
              </w:rPr>
              <w:t>5</w:t>
            </w:r>
            <w:r>
              <w:rPr>
                <w:noProof/>
                <w:webHidden/>
              </w:rPr>
              <w:fldChar w:fldCharType="end"/>
            </w:r>
          </w:hyperlink>
        </w:p>
        <w:p w14:paraId="373250ED" w14:textId="144C6EDE" w:rsidR="00394B4C" w:rsidRDefault="00394B4C">
          <w:pPr>
            <w:pStyle w:val="TOC1"/>
            <w:rPr>
              <w:noProof/>
              <w:lang w:eastAsia="en-GB"/>
            </w:rPr>
          </w:pPr>
          <w:hyperlink w:anchor="_Toc90297779" w:history="1">
            <w:r w:rsidRPr="00D20ADD">
              <w:rPr>
                <w:rStyle w:val="Hyperlink"/>
                <w:noProof/>
              </w:rPr>
              <w:t>B</w:t>
            </w:r>
            <w:r>
              <w:rPr>
                <w:noProof/>
                <w:lang w:eastAsia="en-GB"/>
              </w:rPr>
              <w:tab/>
            </w:r>
            <w:r w:rsidRPr="00D20ADD">
              <w:rPr>
                <w:rStyle w:val="Hyperlink"/>
                <w:noProof/>
              </w:rPr>
              <w:t>Methodologies, conditions and values subject to approval by all TSOs</w:t>
            </w:r>
            <w:r>
              <w:rPr>
                <w:noProof/>
                <w:webHidden/>
              </w:rPr>
              <w:tab/>
            </w:r>
            <w:r>
              <w:rPr>
                <w:noProof/>
                <w:webHidden/>
              </w:rPr>
              <w:fldChar w:fldCharType="begin"/>
            </w:r>
            <w:r>
              <w:rPr>
                <w:noProof/>
                <w:webHidden/>
              </w:rPr>
              <w:instrText xml:space="preserve"> PAGEREF _Toc90297779 \h </w:instrText>
            </w:r>
            <w:r>
              <w:rPr>
                <w:noProof/>
                <w:webHidden/>
              </w:rPr>
            </w:r>
            <w:r>
              <w:rPr>
                <w:noProof/>
                <w:webHidden/>
              </w:rPr>
              <w:fldChar w:fldCharType="separate"/>
            </w:r>
            <w:r>
              <w:rPr>
                <w:noProof/>
                <w:webHidden/>
              </w:rPr>
              <w:t>6</w:t>
            </w:r>
            <w:r>
              <w:rPr>
                <w:noProof/>
                <w:webHidden/>
              </w:rPr>
              <w:fldChar w:fldCharType="end"/>
            </w:r>
          </w:hyperlink>
        </w:p>
        <w:p w14:paraId="205760E7" w14:textId="7C6675EB" w:rsidR="00394B4C" w:rsidRDefault="00394B4C">
          <w:pPr>
            <w:pStyle w:val="TOC1"/>
            <w:rPr>
              <w:noProof/>
              <w:lang w:eastAsia="en-GB"/>
            </w:rPr>
          </w:pPr>
          <w:hyperlink w:anchor="_Toc90297780" w:history="1">
            <w:r w:rsidRPr="00D20ADD">
              <w:rPr>
                <w:rStyle w:val="Hyperlink"/>
                <w:noProof/>
              </w:rPr>
              <w:t>C</w:t>
            </w:r>
            <w:r>
              <w:rPr>
                <w:noProof/>
                <w:lang w:eastAsia="en-GB"/>
              </w:rPr>
              <w:tab/>
            </w:r>
            <w:r w:rsidRPr="00D20ADD">
              <w:rPr>
                <w:rStyle w:val="Hyperlink"/>
                <w:noProof/>
              </w:rPr>
              <w:t>Methodologies, conditions and values agreed among the members of RGCE</w:t>
            </w:r>
            <w:r>
              <w:rPr>
                <w:noProof/>
                <w:webHidden/>
              </w:rPr>
              <w:tab/>
            </w:r>
            <w:r>
              <w:rPr>
                <w:noProof/>
                <w:webHidden/>
              </w:rPr>
              <w:fldChar w:fldCharType="begin"/>
            </w:r>
            <w:r>
              <w:rPr>
                <w:noProof/>
                <w:webHidden/>
              </w:rPr>
              <w:instrText xml:space="preserve"> PAGEREF _Toc90297780 \h </w:instrText>
            </w:r>
            <w:r>
              <w:rPr>
                <w:noProof/>
                <w:webHidden/>
              </w:rPr>
            </w:r>
            <w:r>
              <w:rPr>
                <w:noProof/>
                <w:webHidden/>
              </w:rPr>
              <w:fldChar w:fldCharType="separate"/>
            </w:r>
            <w:r>
              <w:rPr>
                <w:noProof/>
                <w:webHidden/>
              </w:rPr>
              <w:t>7</w:t>
            </w:r>
            <w:r>
              <w:rPr>
                <w:noProof/>
                <w:webHidden/>
              </w:rPr>
              <w:fldChar w:fldCharType="end"/>
            </w:r>
          </w:hyperlink>
        </w:p>
        <w:p w14:paraId="532D385C" w14:textId="5835D376" w:rsidR="00394B4C" w:rsidRDefault="00394B4C">
          <w:pPr>
            <w:pStyle w:val="TOC2"/>
            <w:rPr>
              <w:noProof/>
              <w:lang w:eastAsia="en-GB"/>
            </w:rPr>
          </w:pPr>
          <w:hyperlink w:anchor="_Toc90297781" w:history="1">
            <w:r w:rsidRPr="00D20ADD">
              <w:rPr>
                <w:rStyle w:val="Hyperlink"/>
                <w:noProof/>
              </w:rPr>
              <w:t>C-1</w:t>
            </w:r>
            <w:r>
              <w:rPr>
                <w:noProof/>
                <w:lang w:eastAsia="en-GB"/>
              </w:rPr>
              <w:tab/>
            </w:r>
            <w:r w:rsidRPr="00D20ADD">
              <w:rPr>
                <w:rStyle w:val="Hyperlink"/>
                <w:noProof/>
              </w:rPr>
              <w:t>Definitions</w:t>
            </w:r>
            <w:r>
              <w:rPr>
                <w:noProof/>
                <w:webHidden/>
              </w:rPr>
              <w:tab/>
            </w:r>
            <w:r>
              <w:rPr>
                <w:noProof/>
                <w:webHidden/>
              </w:rPr>
              <w:fldChar w:fldCharType="begin"/>
            </w:r>
            <w:r>
              <w:rPr>
                <w:noProof/>
                <w:webHidden/>
              </w:rPr>
              <w:instrText xml:space="preserve"> PAGEREF _Toc90297781 \h </w:instrText>
            </w:r>
            <w:r>
              <w:rPr>
                <w:noProof/>
                <w:webHidden/>
              </w:rPr>
            </w:r>
            <w:r>
              <w:rPr>
                <w:noProof/>
                <w:webHidden/>
              </w:rPr>
              <w:fldChar w:fldCharType="separate"/>
            </w:r>
            <w:r>
              <w:rPr>
                <w:noProof/>
                <w:webHidden/>
              </w:rPr>
              <w:t>7</w:t>
            </w:r>
            <w:r>
              <w:rPr>
                <w:noProof/>
                <w:webHidden/>
              </w:rPr>
              <w:fldChar w:fldCharType="end"/>
            </w:r>
          </w:hyperlink>
        </w:p>
        <w:p w14:paraId="08D81557" w14:textId="7E9AF090" w:rsidR="00394B4C" w:rsidRDefault="00394B4C">
          <w:pPr>
            <w:pStyle w:val="TOC3"/>
            <w:tabs>
              <w:tab w:val="left" w:pos="1320"/>
              <w:tab w:val="right" w:leader="dot" w:pos="9062"/>
            </w:tabs>
            <w:rPr>
              <w:noProof/>
              <w:lang w:eastAsia="en-GB"/>
            </w:rPr>
          </w:pPr>
          <w:hyperlink w:anchor="_Toc90297782" w:history="1">
            <w:r w:rsidRPr="00D20ADD">
              <w:rPr>
                <w:rStyle w:val="Hyperlink"/>
                <w:noProof/>
              </w:rPr>
              <w:t>C-1-1</w:t>
            </w:r>
            <w:r>
              <w:rPr>
                <w:noProof/>
                <w:lang w:eastAsia="en-GB"/>
              </w:rPr>
              <w:tab/>
            </w:r>
            <w:r w:rsidRPr="00D20ADD">
              <w:rPr>
                <w:rStyle w:val="Hyperlink"/>
                <w:noProof/>
              </w:rPr>
              <w:t>Accounting process</w:t>
            </w:r>
            <w:r>
              <w:rPr>
                <w:noProof/>
                <w:webHidden/>
              </w:rPr>
              <w:tab/>
            </w:r>
            <w:r>
              <w:rPr>
                <w:noProof/>
                <w:webHidden/>
              </w:rPr>
              <w:fldChar w:fldCharType="begin"/>
            </w:r>
            <w:r>
              <w:rPr>
                <w:noProof/>
                <w:webHidden/>
              </w:rPr>
              <w:instrText xml:space="preserve"> PAGEREF _Toc90297782 \h </w:instrText>
            </w:r>
            <w:r>
              <w:rPr>
                <w:noProof/>
                <w:webHidden/>
              </w:rPr>
            </w:r>
            <w:r>
              <w:rPr>
                <w:noProof/>
                <w:webHidden/>
              </w:rPr>
              <w:fldChar w:fldCharType="separate"/>
            </w:r>
            <w:r>
              <w:rPr>
                <w:noProof/>
                <w:webHidden/>
              </w:rPr>
              <w:t>7</w:t>
            </w:r>
            <w:r>
              <w:rPr>
                <w:noProof/>
                <w:webHidden/>
              </w:rPr>
              <w:fldChar w:fldCharType="end"/>
            </w:r>
          </w:hyperlink>
        </w:p>
        <w:p w14:paraId="64B75E01" w14:textId="4633FD8D" w:rsidR="00394B4C" w:rsidRDefault="00394B4C">
          <w:pPr>
            <w:pStyle w:val="TOC3"/>
            <w:tabs>
              <w:tab w:val="left" w:pos="1320"/>
              <w:tab w:val="right" w:leader="dot" w:pos="9062"/>
            </w:tabs>
            <w:rPr>
              <w:noProof/>
              <w:lang w:eastAsia="en-GB"/>
            </w:rPr>
          </w:pPr>
          <w:hyperlink w:anchor="_Toc90297783" w:history="1">
            <w:r w:rsidRPr="00D20ADD">
              <w:rPr>
                <w:rStyle w:val="Hyperlink"/>
                <w:noProof/>
              </w:rPr>
              <w:t>C-1-2</w:t>
            </w:r>
            <w:r>
              <w:rPr>
                <w:noProof/>
                <w:lang w:eastAsia="en-GB"/>
              </w:rPr>
              <w:tab/>
            </w:r>
            <w:r w:rsidRPr="00D20ADD">
              <w:rPr>
                <w:rStyle w:val="Hyperlink"/>
                <w:noProof/>
              </w:rPr>
              <w:t>Settlement process</w:t>
            </w:r>
            <w:r>
              <w:rPr>
                <w:noProof/>
                <w:webHidden/>
              </w:rPr>
              <w:tab/>
            </w:r>
            <w:r>
              <w:rPr>
                <w:noProof/>
                <w:webHidden/>
              </w:rPr>
              <w:fldChar w:fldCharType="begin"/>
            </w:r>
            <w:r>
              <w:rPr>
                <w:noProof/>
                <w:webHidden/>
              </w:rPr>
              <w:instrText xml:space="preserve"> PAGEREF _Toc90297783 \h </w:instrText>
            </w:r>
            <w:r>
              <w:rPr>
                <w:noProof/>
                <w:webHidden/>
              </w:rPr>
            </w:r>
            <w:r>
              <w:rPr>
                <w:noProof/>
                <w:webHidden/>
              </w:rPr>
              <w:fldChar w:fldCharType="separate"/>
            </w:r>
            <w:r>
              <w:rPr>
                <w:noProof/>
                <w:webHidden/>
              </w:rPr>
              <w:t>7</w:t>
            </w:r>
            <w:r>
              <w:rPr>
                <w:noProof/>
                <w:webHidden/>
              </w:rPr>
              <w:fldChar w:fldCharType="end"/>
            </w:r>
          </w:hyperlink>
        </w:p>
        <w:p w14:paraId="699E3D6E" w14:textId="5D91E488" w:rsidR="00394B4C" w:rsidRDefault="00394B4C">
          <w:pPr>
            <w:pStyle w:val="TOC3"/>
            <w:tabs>
              <w:tab w:val="left" w:pos="1320"/>
              <w:tab w:val="right" w:leader="dot" w:pos="9062"/>
            </w:tabs>
            <w:rPr>
              <w:noProof/>
              <w:lang w:eastAsia="en-GB"/>
            </w:rPr>
          </w:pPr>
          <w:hyperlink w:anchor="_Toc90297784" w:history="1">
            <w:r w:rsidRPr="00D20ADD">
              <w:rPr>
                <w:rStyle w:val="Hyperlink"/>
                <w:noProof/>
              </w:rPr>
              <w:t>C-1-3</w:t>
            </w:r>
            <w:r>
              <w:rPr>
                <w:noProof/>
                <w:lang w:eastAsia="en-GB"/>
              </w:rPr>
              <w:tab/>
            </w:r>
            <w:r w:rsidRPr="00D20ADD">
              <w:rPr>
                <w:rStyle w:val="Hyperlink"/>
                <w:noProof/>
              </w:rPr>
              <w:t>Cross-border Energy Exchanges</w:t>
            </w:r>
            <w:r>
              <w:rPr>
                <w:noProof/>
                <w:webHidden/>
              </w:rPr>
              <w:tab/>
            </w:r>
            <w:r>
              <w:rPr>
                <w:noProof/>
                <w:webHidden/>
              </w:rPr>
              <w:fldChar w:fldCharType="begin"/>
            </w:r>
            <w:r>
              <w:rPr>
                <w:noProof/>
                <w:webHidden/>
              </w:rPr>
              <w:instrText xml:space="preserve"> PAGEREF _Toc90297784 \h </w:instrText>
            </w:r>
            <w:r>
              <w:rPr>
                <w:noProof/>
                <w:webHidden/>
              </w:rPr>
            </w:r>
            <w:r>
              <w:rPr>
                <w:noProof/>
                <w:webHidden/>
              </w:rPr>
              <w:fldChar w:fldCharType="separate"/>
            </w:r>
            <w:r>
              <w:rPr>
                <w:noProof/>
                <w:webHidden/>
              </w:rPr>
              <w:t>7</w:t>
            </w:r>
            <w:r>
              <w:rPr>
                <w:noProof/>
                <w:webHidden/>
              </w:rPr>
              <w:fldChar w:fldCharType="end"/>
            </w:r>
          </w:hyperlink>
        </w:p>
        <w:p w14:paraId="76A78278" w14:textId="1227AD71" w:rsidR="00394B4C" w:rsidRDefault="00394B4C">
          <w:pPr>
            <w:pStyle w:val="TOC3"/>
            <w:tabs>
              <w:tab w:val="left" w:pos="1320"/>
              <w:tab w:val="right" w:leader="dot" w:pos="9062"/>
            </w:tabs>
            <w:rPr>
              <w:noProof/>
              <w:lang w:eastAsia="en-GB"/>
            </w:rPr>
          </w:pPr>
          <w:hyperlink w:anchor="_Toc90297785" w:history="1">
            <w:r w:rsidRPr="00D20ADD">
              <w:rPr>
                <w:rStyle w:val="Hyperlink"/>
                <w:noProof/>
              </w:rPr>
              <w:t>C-1-4</w:t>
            </w:r>
            <w:r>
              <w:rPr>
                <w:noProof/>
                <w:lang w:eastAsia="en-GB"/>
              </w:rPr>
              <w:tab/>
            </w:r>
            <w:r w:rsidRPr="00D20ADD">
              <w:rPr>
                <w:rStyle w:val="Hyperlink"/>
                <w:noProof/>
              </w:rPr>
              <w:t>Meter Measurement Data</w:t>
            </w:r>
            <w:r>
              <w:rPr>
                <w:noProof/>
                <w:webHidden/>
              </w:rPr>
              <w:tab/>
            </w:r>
            <w:r>
              <w:rPr>
                <w:noProof/>
                <w:webHidden/>
              </w:rPr>
              <w:fldChar w:fldCharType="begin"/>
            </w:r>
            <w:r>
              <w:rPr>
                <w:noProof/>
                <w:webHidden/>
              </w:rPr>
              <w:instrText xml:space="preserve"> PAGEREF _Toc90297785 \h </w:instrText>
            </w:r>
            <w:r>
              <w:rPr>
                <w:noProof/>
                <w:webHidden/>
              </w:rPr>
            </w:r>
            <w:r>
              <w:rPr>
                <w:noProof/>
                <w:webHidden/>
              </w:rPr>
              <w:fldChar w:fldCharType="separate"/>
            </w:r>
            <w:r>
              <w:rPr>
                <w:noProof/>
                <w:webHidden/>
              </w:rPr>
              <w:t>8</w:t>
            </w:r>
            <w:r>
              <w:rPr>
                <w:noProof/>
                <w:webHidden/>
              </w:rPr>
              <w:fldChar w:fldCharType="end"/>
            </w:r>
          </w:hyperlink>
        </w:p>
        <w:p w14:paraId="134529D0" w14:textId="75D78663" w:rsidR="00394B4C" w:rsidRDefault="00394B4C">
          <w:pPr>
            <w:pStyle w:val="TOC3"/>
            <w:tabs>
              <w:tab w:val="left" w:pos="1320"/>
              <w:tab w:val="right" w:leader="dot" w:pos="9062"/>
            </w:tabs>
            <w:rPr>
              <w:noProof/>
              <w:lang w:eastAsia="en-GB"/>
            </w:rPr>
          </w:pPr>
          <w:hyperlink w:anchor="_Toc90297786" w:history="1">
            <w:r w:rsidRPr="00D20ADD">
              <w:rPr>
                <w:rStyle w:val="Hyperlink"/>
                <w:noProof/>
              </w:rPr>
              <w:t>C-1-5</w:t>
            </w:r>
            <w:r>
              <w:rPr>
                <w:noProof/>
                <w:lang w:eastAsia="en-GB"/>
              </w:rPr>
              <w:tab/>
            </w:r>
            <w:r w:rsidRPr="00D20ADD">
              <w:rPr>
                <w:rStyle w:val="Hyperlink"/>
                <w:noProof/>
              </w:rPr>
              <w:t>Accounting Point</w:t>
            </w:r>
            <w:r>
              <w:rPr>
                <w:noProof/>
                <w:webHidden/>
              </w:rPr>
              <w:tab/>
            </w:r>
            <w:r>
              <w:rPr>
                <w:noProof/>
                <w:webHidden/>
              </w:rPr>
              <w:fldChar w:fldCharType="begin"/>
            </w:r>
            <w:r>
              <w:rPr>
                <w:noProof/>
                <w:webHidden/>
              </w:rPr>
              <w:instrText xml:space="preserve"> PAGEREF _Toc90297786 \h </w:instrText>
            </w:r>
            <w:r>
              <w:rPr>
                <w:noProof/>
                <w:webHidden/>
              </w:rPr>
            </w:r>
            <w:r>
              <w:rPr>
                <w:noProof/>
                <w:webHidden/>
              </w:rPr>
              <w:fldChar w:fldCharType="separate"/>
            </w:r>
            <w:r>
              <w:rPr>
                <w:noProof/>
                <w:webHidden/>
              </w:rPr>
              <w:t>8</w:t>
            </w:r>
            <w:r>
              <w:rPr>
                <w:noProof/>
                <w:webHidden/>
              </w:rPr>
              <w:fldChar w:fldCharType="end"/>
            </w:r>
          </w:hyperlink>
        </w:p>
        <w:p w14:paraId="5F61B98C" w14:textId="45332C3F" w:rsidR="00394B4C" w:rsidRDefault="00394B4C">
          <w:pPr>
            <w:pStyle w:val="TOC3"/>
            <w:tabs>
              <w:tab w:val="left" w:pos="1320"/>
              <w:tab w:val="right" w:leader="dot" w:pos="9062"/>
            </w:tabs>
            <w:rPr>
              <w:noProof/>
              <w:lang w:eastAsia="en-GB"/>
            </w:rPr>
          </w:pPr>
          <w:hyperlink w:anchor="_Toc90297787" w:history="1">
            <w:r w:rsidRPr="00D20ADD">
              <w:rPr>
                <w:rStyle w:val="Hyperlink"/>
                <w:noProof/>
              </w:rPr>
              <w:t>C-1-6</w:t>
            </w:r>
            <w:r>
              <w:rPr>
                <w:noProof/>
                <w:lang w:eastAsia="en-GB"/>
              </w:rPr>
              <w:tab/>
            </w:r>
            <w:r w:rsidRPr="00D20ADD">
              <w:rPr>
                <w:rStyle w:val="Hyperlink"/>
                <w:noProof/>
              </w:rPr>
              <w:t>Accounting Data</w:t>
            </w:r>
            <w:r>
              <w:rPr>
                <w:noProof/>
                <w:webHidden/>
              </w:rPr>
              <w:tab/>
            </w:r>
            <w:r>
              <w:rPr>
                <w:noProof/>
                <w:webHidden/>
              </w:rPr>
              <w:fldChar w:fldCharType="begin"/>
            </w:r>
            <w:r>
              <w:rPr>
                <w:noProof/>
                <w:webHidden/>
              </w:rPr>
              <w:instrText xml:space="preserve"> PAGEREF _Toc90297787 \h </w:instrText>
            </w:r>
            <w:r>
              <w:rPr>
                <w:noProof/>
                <w:webHidden/>
              </w:rPr>
            </w:r>
            <w:r>
              <w:rPr>
                <w:noProof/>
                <w:webHidden/>
              </w:rPr>
              <w:fldChar w:fldCharType="separate"/>
            </w:r>
            <w:r>
              <w:rPr>
                <w:noProof/>
                <w:webHidden/>
              </w:rPr>
              <w:t>9</w:t>
            </w:r>
            <w:r>
              <w:rPr>
                <w:noProof/>
                <w:webHidden/>
              </w:rPr>
              <w:fldChar w:fldCharType="end"/>
            </w:r>
          </w:hyperlink>
        </w:p>
        <w:p w14:paraId="43181769" w14:textId="50955874" w:rsidR="00394B4C" w:rsidRDefault="00394B4C">
          <w:pPr>
            <w:pStyle w:val="TOC3"/>
            <w:tabs>
              <w:tab w:val="left" w:pos="1320"/>
              <w:tab w:val="right" w:leader="dot" w:pos="9062"/>
            </w:tabs>
            <w:rPr>
              <w:noProof/>
              <w:lang w:eastAsia="en-GB"/>
            </w:rPr>
          </w:pPr>
          <w:hyperlink w:anchor="_Toc90297788" w:history="1">
            <w:r w:rsidRPr="00D20ADD">
              <w:rPr>
                <w:rStyle w:val="Hyperlink"/>
                <w:noProof/>
              </w:rPr>
              <w:t>C-1-7</w:t>
            </w:r>
            <w:r>
              <w:rPr>
                <w:noProof/>
                <w:lang w:eastAsia="en-GB"/>
              </w:rPr>
              <w:tab/>
            </w:r>
            <w:r w:rsidRPr="00D20ADD">
              <w:rPr>
                <w:rStyle w:val="Hyperlink"/>
                <w:noProof/>
              </w:rPr>
              <w:t>Working day</w:t>
            </w:r>
            <w:r>
              <w:rPr>
                <w:noProof/>
                <w:webHidden/>
              </w:rPr>
              <w:tab/>
            </w:r>
            <w:r>
              <w:rPr>
                <w:noProof/>
                <w:webHidden/>
              </w:rPr>
              <w:fldChar w:fldCharType="begin"/>
            </w:r>
            <w:r>
              <w:rPr>
                <w:noProof/>
                <w:webHidden/>
              </w:rPr>
              <w:instrText xml:space="preserve"> PAGEREF _Toc90297788 \h </w:instrText>
            </w:r>
            <w:r>
              <w:rPr>
                <w:noProof/>
                <w:webHidden/>
              </w:rPr>
            </w:r>
            <w:r>
              <w:rPr>
                <w:noProof/>
                <w:webHidden/>
              </w:rPr>
              <w:fldChar w:fldCharType="separate"/>
            </w:r>
            <w:r>
              <w:rPr>
                <w:noProof/>
                <w:webHidden/>
              </w:rPr>
              <w:t>9</w:t>
            </w:r>
            <w:r>
              <w:rPr>
                <w:noProof/>
                <w:webHidden/>
              </w:rPr>
              <w:fldChar w:fldCharType="end"/>
            </w:r>
          </w:hyperlink>
        </w:p>
        <w:p w14:paraId="0E46F209" w14:textId="225B151B" w:rsidR="00394B4C" w:rsidRDefault="00394B4C">
          <w:pPr>
            <w:pStyle w:val="TOC3"/>
            <w:tabs>
              <w:tab w:val="left" w:pos="1320"/>
              <w:tab w:val="right" w:leader="dot" w:pos="9062"/>
            </w:tabs>
            <w:rPr>
              <w:noProof/>
              <w:lang w:eastAsia="en-GB"/>
            </w:rPr>
          </w:pPr>
          <w:hyperlink w:anchor="_Toc90297789" w:history="1">
            <w:r w:rsidRPr="00D20ADD">
              <w:rPr>
                <w:rStyle w:val="Hyperlink"/>
                <w:noProof/>
              </w:rPr>
              <w:t>C-1-8</w:t>
            </w:r>
            <w:r>
              <w:rPr>
                <w:noProof/>
                <w:lang w:eastAsia="en-GB"/>
              </w:rPr>
              <w:tab/>
            </w:r>
            <w:r w:rsidRPr="00D20ADD">
              <w:rPr>
                <w:rStyle w:val="Hyperlink"/>
                <w:noProof/>
              </w:rPr>
              <w:t>Financial settlement</w:t>
            </w:r>
            <w:r>
              <w:rPr>
                <w:noProof/>
                <w:webHidden/>
              </w:rPr>
              <w:tab/>
            </w:r>
            <w:r>
              <w:rPr>
                <w:noProof/>
                <w:webHidden/>
              </w:rPr>
              <w:fldChar w:fldCharType="begin"/>
            </w:r>
            <w:r>
              <w:rPr>
                <w:noProof/>
                <w:webHidden/>
              </w:rPr>
              <w:instrText xml:space="preserve"> PAGEREF _Toc90297789 \h </w:instrText>
            </w:r>
            <w:r>
              <w:rPr>
                <w:noProof/>
                <w:webHidden/>
              </w:rPr>
            </w:r>
            <w:r>
              <w:rPr>
                <w:noProof/>
                <w:webHidden/>
              </w:rPr>
              <w:fldChar w:fldCharType="separate"/>
            </w:r>
            <w:r>
              <w:rPr>
                <w:noProof/>
                <w:webHidden/>
              </w:rPr>
              <w:t>9</w:t>
            </w:r>
            <w:r>
              <w:rPr>
                <w:noProof/>
                <w:webHidden/>
              </w:rPr>
              <w:fldChar w:fldCharType="end"/>
            </w:r>
          </w:hyperlink>
        </w:p>
        <w:p w14:paraId="52C00368" w14:textId="1B101D2C" w:rsidR="00394B4C" w:rsidRDefault="00394B4C">
          <w:pPr>
            <w:pStyle w:val="TOC3"/>
            <w:tabs>
              <w:tab w:val="left" w:pos="1320"/>
              <w:tab w:val="right" w:leader="dot" w:pos="9062"/>
            </w:tabs>
            <w:rPr>
              <w:noProof/>
              <w:lang w:eastAsia="en-GB"/>
            </w:rPr>
          </w:pPr>
          <w:hyperlink w:anchor="_Toc90297790" w:history="1">
            <w:r w:rsidRPr="00D20ADD">
              <w:rPr>
                <w:rStyle w:val="Hyperlink"/>
                <w:noProof/>
              </w:rPr>
              <w:t>C-1-9</w:t>
            </w:r>
            <w:r>
              <w:rPr>
                <w:noProof/>
                <w:lang w:eastAsia="en-GB"/>
              </w:rPr>
              <w:tab/>
            </w:r>
            <w:r w:rsidRPr="00D20ADD">
              <w:rPr>
                <w:rStyle w:val="Hyperlink"/>
                <w:noProof/>
              </w:rPr>
              <w:t>TSO-TSO Settlement Period</w:t>
            </w:r>
            <w:r>
              <w:rPr>
                <w:noProof/>
                <w:webHidden/>
              </w:rPr>
              <w:tab/>
            </w:r>
            <w:r>
              <w:rPr>
                <w:noProof/>
                <w:webHidden/>
              </w:rPr>
              <w:fldChar w:fldCharType="begin"/>
            </w:r>
            <w:r>
              <w:rPr>
                <w:noProof/>
                <w:webHidden/>
              </w:rPr>
              <w:instrText xml:space="preserve"> PAGEREF _Toc90297790 \h </w:instrText>
            </w:r>
            <w:r>
              <w:rPr>
                <w:noProof/>
                <w:webHidden/>
              </w:rPr>
            </w:r>
            <w:r>
              <w:rPr>
                <w:noProof/>
                <w:webHidden/>
              </w:rPr>
              <w:fldChar w:fldCharType="separate"/>
            </w:r>
            <w:r>
              <w:rPr>
                <w:noProof/>
                <w:webHidden/>
              </w:rPr>
              <w:t>9</w:t>
            </w:r>
            <w:r>
              <w:rPr>
                <w:noProof/>
                <w:webHidden/>
              </w:rPr>
              <w:fldChar w:fldCharType="end"/>
            </w:r>
          </w:hyperlink>
        </w:p>
        <w:p w14:paraId="2B4F9934" w14:textId="3E674DBB" w:rsidR="00394B4C" w:rsidRDefault="00394B4C">
          <w:pPr>
            <w:pStyle w:val="TOC3"/>
            <w:tabs>
              <w:tab w:val="left" w:pos="1320"/>
              <w:tab w:val="right" w:leader="dot" w:pos="9062"/>
            </w:tabs>
            <w:rPr>
              <w:noProof/>
              <w:lang w:eastAsia="en-GB"/>
            </w:rPr>
          </w:pPr>
          <w:hyperlink w:anchor="_Toc90297791" w:history="1">
            <w:r w:rsidRPr="00D20ADD">
              <w:rPr>
                <w:rStyle w:val="Hyperlink"/>
                <w:noProof/>
              </w:rPr>
              <w:t>C-1-10</w:t>
            </w:r>
            <w:r>
              <w:rPr>
                <w:noProof/>
                <w:lang w:eastAsia="en-GB"/>
              </w:rPr>
              <w:tab/>
            </w:r>
            <w:r w:rsidRPr="00D20ADD">
              <w:rPr>
                <w:rStyle w:val="Hyperlink"/>
                <w:noProof/>
              </w:rPr>
              <w:t>Settlement Price</w:t>
            </w:r>
            <w:r>
              <w:rPr>
                <w:noProof/>
                <w:webHidden/>
              </w:rPr>
              <w:tab/>
            </w:r>
            <w:r>
              <w:rPr>
                <w:noProof/>
                <w:webHidden/>
              </w:rPr>
              <w:fldChar w:fldCharType="begin"/>
            </w:r>
            <w:r>
              <w:rPr>
                <w:noProof/>
                <w:webHidden/>
              </w:rPr>
              <w:instrText xml:space="preserve"> PAGEREF _Toc90297791 \h </w:instrText>
            </w:r>
            <w:r>
              <w:rPr>
                <w:noProof/>
                <w:webHidden/>
              </w:rPr>
            </w:r>
            <w:r>
              <w:rPr>
                <w:noProof/>
                <w:webHidden/>
              </w:rPr>
              <w:fldChar w:fldCharType="separate"/>
            </w:r>
            <w:r>
              <w:rPr>
                <w:noProof/>
                <w:webHidden/>
              </w:rPr>
              <w:t>10</w:t>
            </w:r>
            <w:r>
              <w:rPr>
                <w:noProof/>
                <w:webHidden/>
              </w:rPr>
              <w:fldChar w:fldCharType="end"/>
            </w:r>
          </w:hyperlink>
        </w:p>
        <w:p w14:paraId="27B5335D" w14:textId="69126403" w:rsidR="00394B4C" w:rsidRDefault="00394B4C">
          <w:pPr>
            <w:pStyle w:val="TOC3"/>
            <w:tabs>
              <w:tab w:val="left" w:pos="1320"/>
              <w:tab w:val="right" w:leader="dot" w:pos="9062"/>
            </w:tabs>
            <w:rPr>
              <w:noProof/>
              <w:lang w:eastAsia="en-GB"/>
            </w:rPr>
          </w:pPr>
          <w:hyperlink w:anchor="_Toc90297792" w:history="1">
            <w:r w:rsidRPr="00D20ADD">
              <w:rPr>
                <w:rStyle w:val="Hyperlink"/>
                <w:noProof/>
              </w:rPr>
              <w:t>C-1-11</w:t>
            </w:r>
            <w:r>
              <w:rPr>
                <w:noProof/>
                <w:lang w:eastAsia="en-GB"/>
              </w:rPr>
              <w:tab/>
            </w:r>
            <w:r w:rsidRPr="00D20ADD">
              <w:rPr>
                <w:rStyle w:val="Hyperlink"/>
                <w:noProof/>
              </w:rPr>
              <w:t>Settlement Results</w:t>
            </w:r>
            <w:r>
              <w:rPr>
                <w:noProof/>
                <w:webHidden/>
              </w:rPr>
              <w:tab/>
            </w:r>
            <w:r>
              <w:rPr>
                <w:noProof/>
                <w:webHidden/>
              </w:rPr>
              <w:fldChar w:fldCharType="begin"/>
            </w:r>
            <w:r>
              <w:rPr>
                <w:noProof/>
                <w:webHidden/>
              </w:rPr>
              <w:instrText xml:space="preserve"> PAGEREF _Toc90297792 \h </w:instrText>
            </w:r>
            <w:r>
              <w:rPr>
                <w:noProof/>
                <w:webHidden/>
              </w:rPr>
            </w:r>
            <w:r>
              <w:rPr>
                <w:noProof/>
                <w:webHidden/>
              </w:rPr>
              <w:fldChar w:fldCharType="separate"/>
            </w:r>
            <w:r>
              <w:rPr>
                <w:noProof/>
                <w:webHidden/>
              </w:rPr>
              <w:t>10</w:t>
            </w:r>
            <w:r>
              <w:rPr>
                <w:noProof/>
                <w:webHidden/>
              </w:rPr>
              <w:fldChar w:fldCharType="end"/>
            </w:r>
          </w:hyperlink>
        </w:p>
        <w:p w14:paraId="6D803798" w14:textId="32179C3B" w:rsidR="00394B4C" w:rsidRDefault="00394B4C">
          <w:pPr>
            <w:pStyle w:val="TOC3"/>
            <w:tabs>
              <w:tab w:val="left" w:pos="1320"/>
              <w:tab w:val="right" w:leader="dot" w:pos="9062"/>
            </w:tabs>
            <w:rPr>
              <w:noProof/>
              <w:lang w:eastAsia="en-GB"/>
            </w:rPr>
          </w:pPr>
          <w:hyperlink w:anchor="_Toc90297793" w:history="1">
            <w:r w:rsidRPr="00D20ADD">
              <w:rPr>
                <w:rStyle w:val="Hyperlink"/>
                <w:noProof/>
              </w:rPr>
              <w:t>C-1-12</w:t>
            </w:r>
            <w:r>
              <w:rPr>
                <w:noProof/>
                <w:lang w:eastAsia="en-GB"/>
              </w:rPr>
              <w:tab/>
            </w:r>
            <w:r w:rsidRPr="00D20ADD">
              <w:rPr>
                <w:rStyle w:val="Hyperlink"/>
                <w:noProof/>
              </w:rPr>
              <w:t>Settlement Reports</w:t>
            </w:r>
            <w:r>
              <w:rPr>
                <w:noProof/>
                <w:webHidden/>
              </w:rPr>
              <w:tab/>
            </w:r>
            <w:r>
              <w:rPr>
                <w:noProof/>
                <w:webHidden/>
              </w:rPr>
              <w:fldChar w:fldCharType="begin"/>
            </w:r>
            <w:r>
              <w:rPr>
                <w:noProof/>
                <w:webHidden/>
              </w:rPr>
              <w:instrText xml:space="preserve"> PAGEREF _Toc90297793 \h </w:instrText>
            </w:r>
            <w:r>
              <w:rPr>
                <w:noProof/>
                <w:webHidden/>
              </w:rPr>
            </w:r>
            <w:r>
              <w:rPr>
                <w:noProof/>
                <w:webHidden/>
              </w:rPr>
              <w:fldChar w:fldCharType="separate"/>
            </w:r>
            <w:r>
              <w:rPr>
                <w:noProof/>
                <w:webHidden/>
              </w:rPr>
              <w:t>10</w:t>
            </w:r>
            <w:r>
              <w:rPr>
                <w:noProof/>
                <w:webHidden/>
              </w:rPr>
              <w:fldChar w:fldCharType="end"/>
            </w:r>
          </w:hyperlink>
        </w:p>
        <w:p w14:paraId="6AE1C6FD" w14:textId="4ECF69C1" w:rsidR="00394B4C" w:rsidRDefault="00394B4C">
          <w:pPr>
            <w:pStyle w:val="TOC3"/>
            <w:tabs>
              <w:tab w:val="left" w:pos="1320"/>
              <w:tab w:val="right" w:leader="dot" w:pos="9062"/>
            </w:tabs>
            <w:rPr>
              <w:noProof/>
              <w:lang w:eastAsia="en-GB"/>
            </w:rPr>
          </w:pPr>
          <w:hyperlink w:anchor="_Toc90297794" w:history="1">
            <w:r w:rsidRPr="00D20ADD">
              <w:rPr>
                <w:rStyle w:val="Hyperlink"/>
                <w:noProof/>
              </w:rPr>
              <w:t>C-1-13</w:t>
            </w:r>
            <w:r>
              <w:rPr>
                <w:noProof/>
                <w:lang w:eastAsia="en-GB"/>
              </w:rPr>
              <w:tab/>
            </w:r>
            <w:r w:rsidRPr="00D20ADD">
              <w:rPr>
                <w:rStyle w:val="Hyperlink"/>
                <w:noProof/>
              </w:rPr>
              <w:t>Coordination Centre</w:t>
            </w:r>
            <w:r>
              <w:rPr>
                <w:noProof/>
                <w:webHidden/>
              </w:rPr>
              <w:tab/>
            </w:r>
            <w:r>
              <w:rPr>
                <w:noProof/>
                <w:webHidden/>
              </w:rPr>
              <w:fldChar w:fldCharType="begin"/>
            </w:r>
            <w:r>
              <w:rPr>
                <w:noProof/>
                <w:webHidden/>
              </w:rPr>
              <w:instrText xml:space="preserve"> PAGEREF _Toc90297794 \h </w:instrText>
            </w:r>
            <w:r>
              <w:rPr>
                <w:noProof/>
                <w:webHidden/>
              </w:rPr>
            </w:r>
            <w:r>
              <w:rPr>
                <w:noProof/>
                <w:webHidden/>
              </w:rPr>
              <w:fldChar w:fldCharType="separate"/>
            </w:r>
            <w:r>
              <w:rPr>
                <w:noProof/>
                <w:webHidden/>
              </w:rPr>
              <w:t>10</w:t>
            </w:r>
            <w:r>
              <w:rPr>
                <w:noProof/>
                <w:webHidden/>
              </w:rPr>
              <w:fldChar w:fldCharType="end"/>
            </w:r>
          </w:hyperlink>
        </w:p>
        <w:p w14:paraId="729BD304" w14:textId="7FDA1F86" w:rsidR="00394B4C" w:rsidRDefault="00394B4C">
          <w:pPr>
            <w:pStyle w:val="TOC3"/>
            <w:tabs>
              <w:tab w:val="left" w:pos="1320"/>
              <w:tab w:val="right" w:leader="dot" w:pos="9062"/>
            </w:tabs>
            <w:rPr>
              <w:noProof/>
              <w:lang w:eastAsia="en-GB"/>
            </w:rPr>
          </w:pPr>
          <w:hyperlink w:anchor="_Toc90297795" w:history="1">
            <w:r w:rsidRPr="00D20ADD">
              <w:rPr>
                <w:rStyle w:val="Hyperlink"/>
                <w:noProof/>
              </w:rPr>
              <w:t>C-1-14</w:t>
            </w:r>
            <w:r>
              <w:rPr>
                <w:noProof/>
                <w:lang w:eastAsia="en-GB"/>
              </w:rPr>
              <w:tab/>
            </w:r>
            <w:r w:rsidRPr="00D20ADD">
              <w:rPr>
                <w:rStyle w:val="Hyperlink"/>
                <w:noProof/>
              </w:rPr>
              <w:t>Invoicing Entity</w:t>
            </w:r>
            <w:r>
              <w:rPr>
                <w:noProof/>
                <w:webHidden/>
              </w:rPr>
              <w:tab/>
            </w:r>
            <w:r>
              <w:rPr>
                <w:noProof/>
                <w:webHidden/>
              </w:rPr>
              <w:fldChar w:fldCharType="begin"/>
            </w:r>
            <w:r>
              <w:rPr>
                <w:noProof/>
                <w:webHidden/>
              </w:rPr>
              <w:instrText xml:space="preserve"> PAGEREF _Toc90297795 \h </w:instrText>
            </w:r>
            <w:r>
              <w:rPr>
                <w:noProof/>
                <w:webHidden/>
              </w:rPr>
            </w:r>
            <w:r>
              <w:rPr>
                <w:noProof/>
                <w:webHidden/>
              </w:rPr>
              <w:fldChar w:fldCharType="separate"/>
            </w:r>
            <w:r>
              <w:rPr>
                <w:noProof/>
                <w:webHidden/>
              </w:rPr>
              <w:t>11</w:t>
            </w:r>
            <w:r>
              <w:rPr>
                <w:noProof/>
                <w:webHidden/>
              </w:rPr>
              <w:fldChar w:fldCharType="end"/>
            </w:r>
          </w:hyperlink>
        </w:p>
        <w:p w14:paraId="5EFB2B13" w14:textId="291ED351" w:rsidR="00394B4C" w:rsidRDefault="00394B4C">
          <w:pPr>
            <w:pStyle w:val="TOC2"/>
            <w:rPr>
              <w:noProof/>
              <w:lang w:eastAsia="en-GB"/>
            </w:rPr>
          </w:pPr>
          <w:hyperlink w:anchor="_Toc90297796" w:history="1">
            <w:r w:rsidRPr="00D20ADD">
              <w:rPr>
                <w:rStyle w:val="Hyperlink"/>
                <w:noProof/>
              </w:rPr>
              <w:t>C-2</w:t>
            </w:r>
            <w:r>
              <w:rPr>
                <w:noProof/>
                <w:lang w:eastAsia="en-GB"/>
              </w:rPr>
              <w:tab/>
            </w:r>
            <w:r w:rsidRPr="00D20ADD">
              <w:rPr>
                <w:rStyle w:val="Hyperlink"/>
                <w:noProof/>
              </w:rPr>
              <w:t>Standards – general process overview</w:t>
            </w:r>
            <w:r>
              <w:rPr>
                <w:noProof/>
                <w:webHidden/>
              </w:rPr>
              <w:tab/>
            </w:r>
            <w:r>
              <w:rPr>
                <w:noProof/>
                <w:webHidden/>
              </w:rPr>
              <w:fldChar w:fldCharType="begin"/>
            </w:r>
            <w:r>
              <w:rPr>
                <w:noProof/>
                <w:webHidden/>
              </w:rPr>
              <w:instrText xml:space="preserve"> PAGEREF _Toc90297796 \h </w:instrText>
            </w:r>
            <w:r>
              <w:rPr>
                <w:noProof/>
                <w:webHidden/>
              </w:rPr>
            </w:r>
            <w:r>
              <w:rPr>
                <w:noProof/>
                <w:webHidden/>
              </w:rPr>
              <w:fldChar w:fldCharType="separate"/>
            </w:r>
            <w:r>
              <w:rPr>
                <w:noProof/>
                <w:webHidden/>
              </w:rPr>
              <w:t>11</w:t>
            </w:r>
            <w:r>
              <w:rPr>
                <w:noProof/>
                <w:webHidden/>
              </w:rPr>
              <w:fldChar w:fldCharType="end"/>
            </w:r>
          </w:hyperlink>
        </w:p>
        <w:p w14:paraId="64B06406" w14:textId="316EFA13" w:rsidR="00394B4C" w:rsidRDefault="00394B4C">
          <w:pPr>
            <w:pStyle w:val="TOC3"/>
            <w:tabs>
              <w:tab w:val="left" w:pos="1320"/>
              <w:tab w:val="right" w:leader="dot" w:pos="9062"/>
            </w:tabs>
            <w:rPr>
              <w:noProof/>
              <w:lang w:eastAsia="en-GB"/>
            </w:rPr>
          </w:pPr>
          <w:hyperlink w:anchor="_Toc90297797" w:history="1">
            <w:r w:rsidRPr="00D20ADD">
              <w:rPr>
                <w:rStyle w:val="Hyperlink"/>
                <w:noProof/>
              </w:rPr>
              <w:t>C-2-1</w:t>
            </w:r>
            <w:r>
              <w:rPr>
                <w:noProof/>
                <w:lang w:eastAsia="en-GB"/>
              </w:rPr>
              <w:tab/>
            </w:r>
            <w:r w:rsidRPr="00D20ADD">
              <w:rPr>
                <w:rStyle w:val="Hyperlink"/>
                <w:noProof/>
              </w:rPr>
              <w:t>Overview</w:t>
            </w:r>
            <w:r>
              <w:rPr>
                <w:noProof/>
                <w:webHidden/>
              </w:rPr>
              <w:tab/>
            </w:r>
            <w:r>
              <w:rPr>
                <w:noProof/>
                <w:webHidden/>
              </w:rPr>
              <w:fldChar w:fldCharType="begin"/>
            </w:r>
            <w:r>
              <w:rPr>
                <w:noProof/>
                <w:webHidden/>
              </w:rPr>
              <w:instrText xml:space="preserve"> PAGEREF _Toc90297797 \h </w:instrText>
            </w:r>
            <w:r>
              <w:rPr>
                <w:noProof/>
                <w:webHidden/>
              </w:rPr>
            </w:r>
            <w:r>
              <w:rPr>
                <w:noProof/>
                <w:webHidden/>
              </w:rPr>
              <w:fldChar w:fldCharType="separate"/>
            </w:r>
            <w:r>
              <w:rPr>
                <w:noProof/>
                <w:webHidden/>
              </w:rPr>
              <w:t>11</w:t>
            </w:r>
            <w:r>
              <w:rPr>
                <w:noProof/>
                <w:webHidden/>
              </w:rPr>
              <w:fldChar w:fldCharType="end"/>
            </w:r>
          </w:hyperlink>
        </w:p>
        <w:p w14:paraId="5DFA1823" w14:textId="0779A075" w:rsidR="00394B4C" w:rsidRDefault="00394B4C">
          <w:pPr>
            <w:pStyle w:val="TOC3"/>
            <w:tabs>
              <w:tab w:val="left" w:pos="1320"/>
              <w:tab w:val="right" w:leader="dot" w:pos="9062"/>
            </w:tabs>
            <w:rPr>
              <w:noProof/>
              <w:lang w:eastAsia="en-GB"/>
            </w:rPr>
          </w:pPr>
          <w:hyperlink w:anchor="_Toc90297798" w:history="1">
            <w:r w:rsidRPr="00D20ADD">
              <w:rPr>
                <w:rStyle w:val="Hyperlink"/>
                <w:noProof/>
              </w:rPr>
              <w:t>C-2-2</w:t>
            </w:r>
            <w:r>
              <w:rPr>
                <w:noProof/>
                <w:lang w:eastAsia="en-GB"/>
              </w:rPr>
              <w:tab/>
            </w:r>
            <w:r w:rsidRPr="00D20ADD">
              <w:rPr>
                <w:rStyle w:val="Hyperlink"/>
                <w:noProof/>
              </w:rPr>
              <w:t>Workflow for the accounting and settlement process</w:t>
            </w:r>
            <w:r>
              <w:rPr>
                <w:noProof/>
                <w:webHidden/>
              </w:rPr>
              <w:tab/>
            </w:r>
            <w:r>
              <w:rPr>
                <w:noProof/>
                <w:webHidden/>
              </w:rPr>
              <w:fldChar w:fldCharType="begin"/>
            </w:r>
            <w:r>
              <w:rPr>
                <w:noProof/>
                <w:webHidden/>
              </w:rPr>
              <w:instrText xml:space="preserve"> PAGEREF _Toc90297798 \h </w:instrText>
            </w:r>
            <w:r>
              <w:rPr>
                <w:noProof/>
                <w:webHidden/>
              </w:rPr>
            </w:r>
            <w:r>
              <w:rPr>
                <w:noProof/>
                <w:webHidden/>
              </w:rPr>
              <w:fldChar w:fldCharType="separate"/>
            </w:r>
            <w:r>
              <w:rPr>
                <w:noProof/>
                <w:webHidden/>
              </w:rPr>
              <w:t>11</w:t>
            </w:r>
            <w:r>
              <w:rPr>
                <w:noProof/>
                <w:webHidden/>
              </w:rPr>
              <w:fldChar w:fldCharType="end"/>
            </w:r>
          </w:hyperlink>
        </w:p>
        <w:p w14:paraId="5E7CEE60" w14:textId="71BD9C46" w:rsidR="00394B4C" w:rsidRDefault="00394B4C">
          <w:pPr>
            <w:pStyle w:val="TOC3"/>
            <w:tabs>
              <w:tab w:val="left" w:pos="1320"/>
              <w:tab w:val="right" w:leader="dot" w:pos="9062"/>
            </w:tabs>
            <w:rPr>
              <w:noProof/>
              <w:lang w:eastAsia="en-GB"/>
            </w:rPr>
          </w:pPr>
          <w:hyperlink w:anchor="_Toc90297799" w:history="1">
            <w:r w:rsidRPr="00D20ADD">
              <w:rPr>
                <w:rStyle w:val="Hyperlink"/>
                <w:noProof/>
              </w:rPr>
              <w:t>C-2-3</w:t>
            </w:r>
            <w:r>
              <w:rPr>
                <w:noProof/>
                <w:lang w:eastAsia="en-GB"/>
              </w:rPr>
              <w:tab/>
            </w:r>
            <w:r w:rsidRPr="00D20ADD">
              <w:rPr>
                <w:rStyle w:val="Hyperlink"/>
                <w:noProof/>
              </w:rPr>
              <w:t>Consideration of time shift CET - CEST</w:t>
            </w:r>
            <w:r>
              <w:rPr>
                <w:noProof/>
                <w:webHidden/>
              </w:rPr>
              <w:tab/>
            </w:r>
            <w:r>
              <w:rPr>
                <w:noProof/>
                <w:webHidden/>
              </w:rPr>
              <w:fldChar w:fldCharType="begin"/>
            </w:r>
            <w:r>
              <w:rPr>
                <w:noProof/>
                <w:webHidden/>
              </w:rPr>
              <w:instrText xml:space="preserve"> PAGEREF _Toc90297799 \h </w:instrText>
            </w:r>
            <w:r>
              <w:rPr>
                <w:noProof/>
                <w:webHidden/>
              </w:rPr>
            </w:r>
            <w:r>
              <w:rPr>
                <w:noProof/>
                <w:webHidden/>
              </w:rPr>
              <w:fldChar w:fldCharType="separate"/>
            </w:r>
            <w:r>
              <w:rPr>
                <w:noProof/>
                <w:webHidden/>
              </w:rPr>
              <w:t>12</w:t>
            </w:r>
            <w:r>
              <w:rPr>
                <w:noProof/>
                <w:webHidden/>
              </w:rPr>
              <w:fldChar w:fldCharType="end"/>
            </w:r>
          </w:hyperlink>
        </w:p>
        <w:p w14:paraId="79D1B5C8" w14:textId="5C2CA903" w:rsidR="00394B4C" w:rsidRDefault="00394B4C">
          <w:pPr>
            <w:pStyle w:val="TOC3"/>
            <w:tabs>
              <w:tab w:val="left" w:pos="1320"/>
              <w:tab w:val="right" w:leader="dot" w:pos="9062"/>
            </w:tabs>
            <w:rPr>
              <w:noProof/>
              <w:lang w:eastAsia="en-GB"/>
            </w:rPr>
          </w:pPr>
          <w:hyperlink w:anchor="_Toc90297800" w:history="1">
            <w:r w:rsidRPr="00D20ADD">
              <w:rPr>
                <w:rStyle w:val="Hyperlink"/>
                <w:noProof/>
              </w:rPr>
              <w:t>C-2-4</w:t>
            </w:r>
            <w:r>
              <w:rPr>
                <w:noProof/>
                <w:lang w:eastAsia="en-GB"/>
              </w:rPr>
              <w:tab/>
            </w:r>
            <w:r w:rsidRPr="00D20ADD">
              <w:rPr>
                <w:rStyle w:val="Hyperlink"/>
                <w:noProof/>
              </w:rPr>
              <w:t>Area Consideration</w:t>
            </w:r>
            <w:r>
              <w:rPr>
                <w:noProof/>
                <w:webHidden/>
              </w:rPr>
              <w:tab/>
            </w:r>
            <w:r>
              <w:rPr>
                <w:noProof/>
                <w:webHidden/>
              </w:rPr>
              <w:fldChar w:fldCharType="begin"/>
            </w:r>
            <w:r>
              <w:rPr>
                <w:noProof/>
                <w:webHidden/>
              </w:rPr>
              <w:instrText xml:space="preserve"> PAGEREF _Toc90297800 \h </w:instrText>
            </w:r>
            <w:r>
              <w:rPr>
                <w:noProof/>
                <w:webHidden/>
              </w:rPr>
            </w:r>
            <w:r>
              <w:rPr>
                <w:noProof/>
                <w:webHidden/>
              </w:rPr>
              <w:fldChar w:fldCharType="separate"/>
            </w:r>
            <w:r>
              <w:rPr>
                <w:noProof/>
                <w:webHidden/>
              </w:rPr>
              <w:t>13</w:t>
            </w:r>
            <w:r>
              <w:rPr>
                <w:noProof/>
                <w:webHidden/>
              </w:rPr>
              <w:fldChar w:fldCharType="end"/>
            </w:r>
          </w:hyperlink>
        </w:p>
        <w:p w14:paraId="7D37C2D9" w14:textId="06BF969F" w:rsidR="00394B4C" w:rsidRDefault="00394B4C">
          <w:pPr>
            <w:pStyle w:val="TOC2"/>
            <w:rPr>
              <w:noProof/>
              <w:lang w:eastAsia="en-GB"/>
            </w:rPr>
          </w:pPr>
          <w:hyperlink w:anchor="_Toc90297801" w:history="1">
            <w:r w:rsidRPr="00D20ADD">
              <w:rPr>
                <w:rStyle w:val="Hyperlink"/>
                <w:noProof/>
              </w:rPr>
              <w:t>C-3</w:t>
            </w:r>
            <w:r>
              <w:rPr>
                <w:noProof/>
                <w:lang w:eastAsia="en-GB"/>
              </w:rPr>
              <w:tab/>
            </w:r>
            <w:r w:rsidRPr="00D20ADD">
              <w:rPr>
                <w:rStyle w:val="Hyperlink"/>
                <w:noProof/>
              </w:rPr>
              <w:t>Standards - General rules</w:t>
            </w:r>
            <w:r>
              <w:rPr>
                <w:noProof/>
                <w:webHidden/>
              </w:rPr>
              <w:tab/>
            </w:r>
            <w:r>
              <w:rPr>
                <w:noProof/>
                <w:webHidden/>
              </w:rPr>
              <w:fldChar w:fldCharType="begin"/>
            </w:r>
            <w:r>
              <w:rPr>
                <w:noProof/>
                <w:webHidden/>
              </w:rPr>
              <w:instrText xml:space="preserve"> PAGEREF _Toc90297801 \h </w:instrText>
            </w:r>
            <w:r>
              <w:rPr>
                <w:noProof/>
                <w:webHidden/>
              </w:rPr>
            </w:r>
            <w:r>
              <w:rPr>
                <w:noProof/>
                <w:webHidden/>
              </w:rPr>
              <w:fldChar w:fldCharType="separate"/>
            </w:r>
            <w:r>
              <w:rPr>
                <w:noProof/>
                <w:webHidden/>
              </w:rPr>
              <w:t>14</w:t>
            </w:r>
            <w:r>
              <w:rPr>
                <w:noProof/>
                <w:webHidden/>
              </w:rPr>
              <w:fldChar w:fldCharType="end"/>
            </w:r>
          </w:hyperlink>
        </w:p>
        <w:p w14:paraId="5F3AEF26" w14:textId="066AE79F" w:rsidR="00394B4C" w:rsidRDefault="00394B4C">
          <w:pPr>
            <w:pStyle w:val="TOC3"/>
            <w:tabs>
              <w:tab w:val="left" w:pos="1320"/>
              <w:tab w:val="right" w:leader="dot" w:pos="9062"/>
            </w:tabs>
            <w:rPr>
              <w:noProof/>
              <w:lang w:eastAsia="en-GB"/>
            </w:rPr>
          </w:pPr>
          <w:hyperlink w:anchor="_Toc90297802" w:history="1">
            <w:r w:rsidRPr="00D20ADD">
              <w:rPr>
                <w:rStyle w:val="Hyperlink"/>
                <w:noProof/>
              </w:rPr>
              <w:t>C-3-1</w:t>
            </w:r>
            <w:r>
              <w:rPr>
                <w:noProof/>
                <w:lang w:eastAsia="en-GB"/>
              </w:rPr>
              <w:tab/>
            </w:r>
            <w:r w:rsidRPr="00D20ADD">
              <w:rPr>
                <w:rStyle w:val="Hyperlink"/>
                <w:noProof/>
              </w:rPr>
              <w:t>Accounting and Settlement Period</w:t>
            </w:r>
            <w:r>
              <w:rPr>
                <w:noProof/>
                <w:webHidden/>
              </w:rPr>
              <w:tab/>
            </w:r>
            <w:r>
              <w:rPr>
                <w:noProof/>
                <w:webHidden/>
              </w:rPr>
              <w:fldChar w:fldCharType="begin"/>
            </w:r>
            <w:r>
              <w:rPr>
                <w:noProof/>
                <w:webHidden/>
              </w:rPr>
              <w:instrText xml:space="preserve"> PAGEREF _Toc90297802 \h </w:instrText>
            </w:r>
            <w:r>
              <w:rPr>
                <w:noProof/>
                <w:webHidden/>
              </w:rPr>
            </w:r>
            <w:r>
              <w:rPr>
                <w:noProof/>
                <w:webHidden/>
              </w:rPr>
              <w:fldChar w:fldCharType="separate"/>
            </w:r>
            <w:r>
              <w:rPr>
                <w:noProof/>
                <w:webHidden/>
              </w:rPr>
              <w:t>14</w:t>
            </w:r>
            <w:r>
              <w:rPr>
                <w:noProof/>
                <w:webHidden/>
              </w:rPr>
              <w:fldChar w:fldCharType="end"/>
            </w:r>
          </w:hyperlink>
        </w:p>
        <w:p w14:paraId="72F5696E" w14:textId="28FDA856" w:rsidR="00394B4C" w:rsidRDefault="00394B4C">
          <w:pPr>
            <w:pStyle w:val="TOC3"/>
            <w:tabs>
              <w:tab w:val="left" w:pos="1320"/>
              <w:tab w:val="right" w:leader="dot" w:pos="9062"/>
            </w:tabs>
            <w:rPr>
              <w:noProof/>
              <w:lang w:eastAsia="en-GB"/>
            </w:rPr>
          </w:pPr>
          <w:hyperlink w:anchor="_Toc90297803" w:history="1">
            <w:r w:rsidRPr="00D20ADD">
              <w:rPr>
                <w:rStyle w:val="Hyperlink"/>
                <w:noProof/>
              </w:rPr>
              <w:t>C-3-2</w:t>
            </w:r>
            <w:r>
              <w:rPr>
                <w:noProof/>
                <w:lang w:eastAsia="en-GB"/>
              </w:rPr>
              <w:tab/>
            </w:r>
            <w:r w:rsidRPr="00D20ADD">
              <w:rPr>
                <w:rStyle w:val="Hyperlink"/>
                <w:noProof/>
              </w:rPr>
              <w:t>Availability</w:t>
            </w:r>
            <w:r>
              <w:rPr>
                <w:noProof/>
                <w:webHidden/>
              </w:rPr>
              <w:tab/>
            </w:r>
            <w:r>
              <w:rPr>
                <w:noProof/>
                <w:webHidden/>
              </w:rPr>
              <w:fldChar w:fldCharType="begin"/>
            </w:r>
            <w:r>
              <w:rPr>
                <w:noProof/>
                <w:webHidden/>
              </w:rPr>
              <w:instrText xml:space="preserve"> PAGEREF _Toc90297803 \h </w:instrText>
            </w:r>
            <w:r>
              <w:rPr>
                <w:noProof/>
                <w:webHidden/>
              </w:rPr>
            </w:r>
            <w:r>
              <w:rPr>
                <w:noProof/>
                <w:webHidden/>
              </w:rPr>
              <w:fldChar w:fldCharType="separate"/>
            </w:r>
            <w:r>
              <w:rPr>
                <w:noProof/>
                <w:webHidden/>
              </w:rPr>
              <w:t>14</w:t>
            </w:r>
            <w:r>
              <w:rPr>
                <w:noProof/>
                <w:webHidden/>
              </w:rPr>
              <w:fldChar w:fldCharType="end"/>
            </w:r>
          </w:hyperlink>
        </w:p>
        <w:p w14:paraId="4BDA9EFD" w14:textId="704682B5" w:rsidR="00394B4C" w:rsidRDefault="00394B4C">
          <w:pPr>
            <w:pStyle w:val="TOC3"/>
            <w:tabs>
              <w:tab w:val="left" w:pos="1320"/>
              <w:tab w:val="right" w:leader="dot" w:pos="9062"/>
            </w:tabs>
            <w:rPr>
              <w:noProof/>
              <w:lang w:eastAsia="en-GB"/>
            </w:rPr>
          </w:pPr>
          <w:hyperlink w:anchor="_Toc90297804" w:history="1">
            <w:r w:rsidRPr="00D20ADD">
              <w:rPr>
                <w:rStyle w:val="Hyperlink"/>
                <w:noProof/>
              </w:rPr>
              <w:t>C-3-3</w:t>
            </w:r>
            <w:r>
              <w:rPr>
                <w:noProof/>
                <w:lang w:eastAsia="en-GB"/>
              </w:rPr>
              <w:tab/>
            </w:r>
            <w:r w:rsidRPr="00D20ADD">
              <w:rPr>
                <w:rStyle w:val="Hyperlink"/>
                <w:noProof/>
              </w:rPr>
              <w:t>Local exceptions</w:t>
            </w:r>
            <w:r>
              <w:rPr>
                <w:noProof/>
                <w:webHidden/>
              </w:rPr>
              <w:tab/>
            </w:r>
            <w:r>
              <w:rPr>
                <w:noProof/>
                <w:webHidden/>
              </w:rPr>
              <w:fldChar w:fldCharType="begin"/>
            </w:r>
            <w:r>
              <w:rPr>
                <w:noProof/>
                <w:webHidden/>
              </w:rPr>
              <w:instrText xml:space="preserve"> PAGEREF _Toc90297804 \h </w:instrText>
            </w:r>
            <w:r>
              <w:rPr>
                <w:noProof/>
                <w:webHidden/>
              </w:rPr>
            </w:r>
            <w:r>
              <w:rPr>
                <w:noProof/>
                <w:webHidden/>
              </w:rPr>
              <w:fldChar w:fldCharType="separate"/>
            </w:r>
            <w:r>
              <w:rPr>
                <w:noProof/>
                <w:webHidden/>
              </w:rPr>
              <w:t>14</w:t>
            </w:r>
            <w:r>
              <w:rPr>
                <w:noProof/>
                <w:webHidden/>
              </w:rPr>
              <w:fldChar w:fldCharType="end"/>
            </w:r>
          </w:hyperlink>
        </w:p>
        <w:p w14:paraId="1D123DD5" w14:textId="6FA899F4" w:rsidR="00394B4C" w:rsidRDefault="00394B4C">
          <w:pPr>
            <w:pStyle w:val="TOC3"/>
            <w:tabs>
              <w:tab w:val="left" w:pos="1320"/>
              <w:tab w:val="right" w:leader="dot" w:pos="9062"/>
            </w:tabs>
            <w:rPr>
              <w:noProof/>
              <w:lang w:eastAsia="en-GB"/>
            </w:rPr>
          </w:pPr>
          <w:hyperlink w:anchor="_Toc90297805" w:history="1">
            <w:r w:rsidRPr="00D20ADD">
              <w:rPr>
                <w:rStyle w:val="Hyperlink"/>
                <w:noProof/>
              </w:rPr>
              <w:t>C-3-4</w:t>
            </w:r>
            <w:r>
              <w:rPr>
                <w:noProof/>
                <w:lang w:eastAsia="en-GB"/>
              </w:rPr>
              <w:tab/>
            </w:r>
            <w:r w:rsidRPr="00D20ADD">
              <w:rPr>
                <w:rStyle w:val="Hyperlink"/>
                <w:noProof/>
              </w:rPr>
              <w:t>Consideration of DC-links</w:t>
            </w:r>
            <w:r>
              <w:rPr>
                <w:noProof/>
                <w:webHidden/>
              </w:rPr>
              <w:tab/>
            </w:r>
            <w:r>
              <w:rPr>
                <w:noProof/>
                <w:webHidden/>
              </w:rPr>
              <w:fldChar w:fldCharType="begin"/>
            </w:r>
            <w:r>
              <w:rPr>
                <w:noProof/>
                <w:webHidden/>
              </w:rPr>
              <w:instrText xml:space="preserve"> PAGEREF _Toc90297805 \h </w:instrText>
            </w:r>
            <w:r>
              <w:rPr>
                <w:noProof/>
                <w:webHidden/>
              </w:rPr>
            </w:r>
            <w:r>
              <w:rPr>
                <w:noProof/>
                <w:webHidden/>
              </w:rPr>
              <w:fldChar w:fldCharType="separate"/>
            </w:r>
            <w:r>
              <w:rPr>
                <w:noProof/>
                <w:webHidden/>
              </w:rPr>
              <w:t>14</w:t>
            </w:r>
            <w:r>
              <w:rPr>
                <w:noProof/>
                <w:webHidden/>
              </w:rPr>
              <w:fldChar w:fldCharType="end"/>
            </w:r>
          </w:hyperlink>
        </w:p>
        <w:p w14:paraId="5FDAD9C3" w14:textId="0175B04F" w:rsidR="00394B4C" w:rsidRDefault="00394B4C">
          <w:pPr>
            <w:pStyle w:val="TOC3"/>
            <w:tabs>
              <w:tab w:val="left" w:pos="1320"/>
              <w:tab w:val="right" w:leader="dot" w:pos="9062"/>
            </w:tabs>
            <w:rPr>
              <w:noProof/>
              <w:lang w:eastAsia="en-GB"/>
            </w:rPr>
          </w:pPr>
          <w:hyperlink w:anchor="_Toc90297806" w:history="1">
            <w:r w:rsidRPr="00D20ADD">
              <w:rPr>
                <w:rStyle w:val="Hyperlink"/>
                <w:noProof/>
              </w:rPr>
              <w:t>C-3-5</w:t>
            </w:r>
            <w:r>
              <w:rPr>
                <w:noProof/>
                <w:lang w:eastAsia="en-GB"/>
              </w:rPr>
              <w:tab/>
            </w:r>
            <w:r w:rsidRPr="00D20ADD">
              <w:rPr>
                <w:rStyle w:val="Hyperlink"/>
                <w:noProof/>
              </w:rPr>
              <w:t>Modification of the accounting process and related data</w:t>
            </w:r>
            <w:r>
              <w:rPr>
                <w:noProof/>
                <w:webHidden/>
              </w:rPr>
              <w:tab/>
            </w:r>
            <w:r>
              <w:rPr>
                <w:noProof/>
                <w:webHidden/>
              </w:rPr>
              <w:fldChar w:fldCharType="begin"/>
            </w:r>
            <w:r>
              <w:rPr>
                <w:noProof/>
                <w:webHidden/>
              </w:rPr>
              <w:instrText xml:space="preserve"> PAGEREF _Toc90297806 \h </w:instrText>
            </w:r>
            <w:r>
              <w:rPr>
                <w:noProof/>
                <w:webHidden/>
              </w:rPr>
            </w:r>
            <w:r>
              <w:rPr>
                <w:noProof/>
                <w:webHidden/>
              </w:rPr>
              <w:fldChar w:fldCharType="separate"/>
            </w:r>
            <w:r>
              <w:rPr>
                <w:noProof/>
                <w:webHidden/>
              </w:rPr>
              <w:t>14</w:t>
            </w:r>
            <w:r>
              <w:rPr>
                <w:noProof/>
                <w:webHidden/>
              </w:rPr>
              <w:fldChar w:fldCharType="end"/>
            </w:r>
          </w:hyperlink>
        </w:p>
        <w:p w14:paraId="69E0EF52" w14:textId="505A175C" w:rsidR="00394B4C" w:rsidRDefault="00394B4C">
          <w:pPr>
            <w:pStyle w:val="TOC3"/>
            <w:tabs>
              <w:tab w:val="left" w:pos="1320"/>
              <w:tab w:val="right" w:leader="dot" w:pos="9062"/>
            </w:tabs>
            <w:rPr>
              <w:noProof/>
              <w:lang w:eastAsia="en-GB"/>
            </w:rPr>
          </w:pPr>
          <w:hyperlink w:anchor="_Toc90297807" w:history="1">
            <w:r w:rsidRPr="00D20ADD">
              <w:rPr>
                <w:rStyle w:val="Hyperlink"/>
                <w:noProof/>
              </w:rPr>
              <w:t>C-3-6</w:t>
            </w:r>
            <w:r>
              <w:rPr>
                <w:noProof/>
                <w:lang w:eastAsia="en-GB"/>
              </w:rPr>
              <w:tab/>
            </w:r>
            <w:r w:rsidRPr="00D20ADD">
              <w:rPr>
                <w:rStyle w:val="Hyperlink"/>
                <w:noProof/>
              </w:rPr>
              <w:t>Rounding rules</w:t>
            </w:r>
            <w:r>
              <w:rPr>
                <w:noProof/>
                <w:webHidden/>
              </w:rPr>
              <w:tab/>
            </w:r>
            <w:r>
              <w:rPr>
                <w:noProof/>
                <w:webHidden/>
              </w:rPr>
              <w:fldChar w:fldCharType="begin"/>
            </w:r>
            <w:r>
              <w:rPr>
                <w:noProof/>
                <w:webHidden/>
              </w:rPr>
              <w:instrText xml:space="preserve"> PAGEREF _Toc90297807 \h </w:instrText>
            </w:r>
            <w:r>
              <w:rPr>
                <w:noProof/>
                <w:webHidden/>
              </w:rPr>
            </w:r>
            <w:r>
              <w:rPr>
                <w:noProof/>
                <w:webHidden/>
              </w:rPr>
              <w:fldChar w:fldCharType="separate"/>
            </w:r>
            <w:r>
              <w:rPr>
                <w:noProof/>
                <w:webHidden/>
              </w:rPr>
              <w:t>14</w:t>
            </w:r>
            <w:r>
              <w:rPr>
                <w:noProof/>
                <w:webHidden/>
              </w:rPr>
              <w:fldChar w:fldCharType="end"/>
            </w:r>
          </w:hyperlink>
        </w:p>
        <w:p w14:paraId="754A02B0" w14:textId="5D89E41E" w:rsidR="00394B4C" w:rsidRDefault="00394B4C">
          <w:pPr>
            <w:pStyle w:val="TOC3"/>
            <w:tabs>
              <w:tab w:val="left" w:pos="1320"/>
              <w:tab w:val="right" w:leader="dot" w:pos="9062"/>
            </w:tabs>
            <w:rPr>
              <w:noProof/>
              <w:lang w:eastAsia="en-GB"/>
            </w:rPr>
          </w:pPr>
          <w:hyperlink w:anchor="_Toc90297808" w:history="1">
            <w:r w:rsidRPr="00D20ADD">
              <w:rPr>
                <w:rStyle w:val="Hyperlink"/>
                <w:noProof/>
              </w:rPr>
              <w:t>C-3-7</w:t>
            </w:r>
            <w:r>
              <w:rPr>
                <w:noProof/>
                <w:lang w:eastAsia="en-GB"/>
              </w:rPr>
              <w:tab/>
            </w:r>
            <w:r w:rsidRPr="00D20ADD">
              <w:rPr>
                <w:rStyle w:val="Hyperlink"/>
                <w:noProof/>
              </w:rPr>
              <w:t>Electronic Data Exchange</w:t>
            </w:r>
            <w:r>
              <w:rPr>
                <w:noProof/>
                <w:webHidden/>
              </w:rPr>
              <w:tab/>
            </w:r>
            <w:r>
              <w:rPr>
                <w:noProof/>
                <w:webHidden/>
              </w:rPr>
              <w:fldChar w:fldCharType="begin"/>
            </w:r>
            <w:r>
              <w:rPr>
                <w:noProof/>
                <w:webHidden/>
              </w:rPr>
              <w:instrText xml:space="preserve"> PAGEREF _Toc90297808 \h </w:instrText>
            </w:r>
            <w:r>
              <w:rPr>
                <w:noProof/>
                <w:webHidden/>
              </w:rPr>
            </w:r>
            <w:r>
              <w:rPr>
                <w:noProof/>
                <w:webHidden/>
              </w:rPr>
              <w:fldChar w:fldCharType="separate"/>
            </w:r>
            <w:r>
              <w:rPr>
                <w:noProof/>
                <w:webHidden/>
              </w:rPr>
              <w:t>15</w:t>
            </w:r>
            <w:r>
              <w:rPr>
                <w:noProof/>
                <w:webHidden/>
              </w:rPr>
              <w:fldChar w:fldCharType="end"/>
            </w:r>
          </w:hyperlink>
        </w:p>
        <w:p w14:paraId="33561B57" w14:textId="6DF16A57" w:rsidR="00394B4C" w:rsidRDefault="00394B4C">
          <w:pPr>
            <w:pStyle w:val="TOC3"/>
            <w:tabs>
              <w:tab w:val="left" w:pos="1320"/>
              <w:tab w:val="right" w:leader="dot" w:pos="9062"/>
            </w:tabs>
            <w:rPr>
              <w:noProof/>
              <w:lang w:eastAsia="en-GB"/>
            </w:rPr>
          </w:pPr>
          <w:hyperlink w:anchor="_Toc90297809" w:history="1">
            <w:r w:rsidRPr="00D20ADD">
              <w:rPr>
                <w:rStyle w:val="Hyperlink"/>
                <w:noProof/>
              </w:rPr>
              <w:t>C-3-8</w:t>
            </w:r>
            <w:r>
              <w:rPr>
                <w:noProof/>
                <w:lang w:eastAsia="en-GB"/>
              </w:rPr>
              <w:tab/>
            </w:r>
            <w:r w:rsidRPr="00D20ADD">
              <w:rPr>
                <w:rStyle w:val="Hyperlink"/>
                <w:noProof/>
              </w:rPr>
              <w:t>Troubleshooting</w:t>
            </w:r>
            <w:r>
              <w:rPr>
                <w:noProof/>
                <w:webHidden/>
              </w:rPr>
              <w:tab/>
            </w:r>
            <w:r>
              <w:rPr>
                <w:noProof/>
                <w:webHidden/>
              </w:rPr>
              <w:fldChar w:fldCharType="begin"/>
            </w:r>
            <w:r>
              <w:rPr>
                <w:noProof/>
                <w:webHidden/>
              </w:rPr>
              <w:instrText xml:space="preserve"> PAGEREF _Toc90297809 \h </w:instrText>
            </w:r>
            <w:r>
              <w:rPr>
                <w:noProof/>
                <w:webHidden/>
              </w:rPr>
            </w:r>
            <w:r>
              <w:rPr>
                <w:noProof/>
                <w:webHidden/>
              </w:rPr>
              <w:fldChar w:fldCharType="separate"/>
            </w:r>
            <w:r>
              <w:rPr>
                <w:noProof/>
                <w:webHidden/>
              </w:rPr>
              <w:t>15</w:t>
            </w:r>
            <w:r>
              <w:rPr>
                <w:noProof/>
                <w:webHidden/>
              </w:rPr>
              <w:fldChar w:fldCharType="end"/>
            </w:r>
          </w:hyperlink>
        </w:p>
        <w:p w14:paraId="0963A6C2" w14:textId="5EC73F82" w:rsidR="00394B4C" w:rsidRDefault="00394B4C">
          <w:pPr>
            <w:pStyle w:val="TOC2"/>
            <w:rPr>
              <w:noProof/>
              <w:lang w:eastAsia="en-GB"/>
            </w:rPr>
          </w:pPr>
          <w:hyperlink w:anchor="_Toc90297810" w:history="1">
            <w:r w:rsidRPr="00D20ADD">
              <w:rPr>
                <w:rStyle w:val="Hyperlink"/>
                <w:noProof/>
              </w:rPr>
              <w:t>C-4</w:t>
            </w:r>
            <w:r>
              <w:rPr>
                <w:noProof/>
                <w:lang w:eastAsia="en-GB"/>
              </w:rPr>
              <w:tab/>
            </w:r>
            <w:r w:rsidRPr="00D20ADD">
              <w:rPr>
                <w:rStyle w:val="Hyperlink"/>
                <w:noProof/>
              </w:rPr>
              <w:t>Standards - Bilateral agreement for the accounting/settlement process</w:t>
            </w:r>
            <w:r>
              <w:rPr>
                <w:noProof/>
                <w:webHidden/>
              </w:rPr>
              <w:tab/>
            </w:r>
            <w:r>
              <w:rPr>
                <w:noProof/>
                <w:webHidden/>
              </w:rPr>
              <w:fldChar w:fldCharType="begin"/>
            </w:r>
            <w:r>
              <w:rPr>
                <w:noProof/>
                <w:webHidden/>
              </w:rPr>
              <w:instrText xml:space="preserve"> PAGEREF _Toc90297810 \h </w:instrText>
            </w:r>
            <w:r>
              <w:rPr>
                <w:noProof/>
                <w:webHidden/>
              </w:rPr>
            </w:r>
            <w:r>
              <w:rPr>
                <w:noProof/>
                <w:webHidden/>
              </w:rPr>
              <w:fldChar w:fldCharType="separate"/>
            </w:r>
            <w:r>
              <w:rPr>
                <w:noProof/>
                <w:webHidden/>
              </w:rPr>
              <w:t>16</w:t>
            </w:r>
            <w:r>
              <w:rPr>
                <w:noProof/>
                <w:webHidden/>
              </w:rPr>
              <w:fldChar w:fldCharType="end"/>
            </w:r>
          </w:hyperlink>
        </w:p>
        <w:p w14:paraId="4F012543" w14:textId="19A2CB53" w:rsidR="00394B4C" w:rsidRDefault="00394B4C">
          <w:pPr>
            <w:pStyle w:val="TOC3"/>
            <w:tabs>
              <w:tab w:val="left" w:pos="1320"/>
              <w:tab w:val="right" w:leader="dot" w:pos="9062"/>
            </w:tabs>
            <w:rPr>
              <w:noProof/>
              <w:lang w:eastAsia="en-GB"/>
            </w:rPr>
          </w:pPr>
          <w:hyperlink w:anchor="_Toc90297811" w:history="1">
            <w:r w:rsidRPr="00D20ADD">
              <w:rPr>
                <w:rStyle w:val="Hyperlink"/>
                <w:noProof/>
              </w:rPr>
              <w:t>C-4-1</w:t>
            </w:r>
            <w:r>
              <w:rPr>
                <w:noProof/>
                <w:lang w:eastAsia="en-GB"/>
              </w:rPr>
              <w:tab/>
            </w:r>
            <w:r w:rsidRPr="00D20ADD">
              <w:rPr>
                <w:rStyle w:val="Hyperlink"/>
                <w:noProof/>
              </w:rPr>
              <w:t>List of tie-lines, meter measurement and accounting data</w:t>
            </w:r>
            <w:r>
              <w:rPr>
                <w:noProof/>
                <w:webHidden/>
              </w:rPr>
              <w:tab/>
            </w:r>
            <w:r>
              <w:rPr>
                <w:noProof/>
                <w:webHidden/>
              </w:rPr>
              <w:fldChar w:fldCharType="begin"/>
            </w:r>
            <w:r>
              <w:rPr>
                <w:noProof/>
                <w:webHidden/>
              </w:rPr>
              <w:instrText xml:space="preserve"> PAGEREF _Toc90297811 \h </w:instrText>
            </w:r>
            <w:r>
              <w:rPr>
                <w:noProof/>
                <w:webHidden/>
              </w:rPr>
            </w:r>
            <w:r>
              <w:rPr>
                <w:noProof/>
                <w:webHidden/>
              </w:rPr>
              <w:fldChar w:fldCharType="separate"/>
            </w:r>
            <w:r>
              <w:rPr>
                <w:noProof/>
                <w:webHidden/>
              </w:rPr>
              <w:t>16</w:t>
            </w:r>
            <w:r>
              <w:rPr>
                <w:noProof/>
                <w:webHidden/>
              </w:rPr>
              <w:fldChar w:fldCharType="end"/>
            </w:r>
          </w:hyperlink>
        </w:p>
        <w:p w14:paraId="79FF4B6F" w14:textId="7A8A1726" w:rsidR="00394B4C" w:rsidRDefault="00394B4C">
          <w:pPr>
            <w:pStyle w:val="TOC3"/>
            <w:tabs>
              <w:tab w:val="left" w:pos="1320"/>
              <w:tab w:val="right" w:leader="dot" w:pos="9062"/>
            </w:tabs>
            <w:rPr>
              <w:noProof/>
              <w:lang w:eastAsia="en-GB"/>
            </w:rPr>
          </w:pPr>
          <w:hyperlink w:anchor="_Toc90297812" w:history="1">
            <w:r w:rsidRPr="00D20ADD">
              <w:rPr>
                <w:rStyle w:val="Hyperlink"/>
                <w:noProof/>
              </w:rPr>
              <w:t>C-4-2</w:t>
            </w:r>
            <w:r>
              <w:rPr>
                <w:noProof/>
                <w:lang w:eastAsia="en-GB"/>
              </w:rPr>
              <w:tab/>
            </w:r>
            <w:r w:rsidRPr="00D20ADD">
              <w:rPr>
                <w:rStyle w:val="Hyperlink"/>
                <w:noProof/>
              </w:rPr>
              <w:t>Data format</w:t>
            </w:r>
            <w:r>
              <w:rPr>
                <w:noProof/>
                <w:webHidden/>
              </w:rPr>
              <w:tab/>
            </w:r>
            <w:r>
              <w:rPr>
                <w:noProof/>
                <w:webHidden/>
              </w:rPr>
              <w:fldChar w:fldCharType="begin"/>
            </w:r>
            <w:r>
              <w:rPr>
                <w:noProof/>
                <w:webHidden/>
              </w:rPr>
              <w:instrText xml:space="preserve"> PAGEREF _Toc90297812 \h </w:instrText>
            </w:r>
            <w:r>
              <w:rPr>
                <w:noProof/>
                <w:webHidden/>
              </w:rPr>
            </w:r>
            <w:r>
              <w:rPr>
                <w:noProof/>
                <w:webHidden/>
              </w:rPr>
              <w:fldChar w:fldCharType="separate"/>
            </w:r>
            <w:r>
              <w:rPr>
                <w:noProof/>
                <w:webHidden/>
              </w:rPr>
              <w:t>16</w:t>
            </w:r>
            <w:r>
              <w:rPr>
                <w:noProof/>
                <w:webHidden/>
              </w:rPr>
              <w:fldChar w:fldCharType="end"/>
            </w:r>
          </w:hyperlink>
        </w:p>
        <w:p w14:paraId="51FDE832" w14:textId="3C8BC157" w:rsidR="00394B4C" w:rsidRDefault="00394B4C">
          <w:pPr>
            <w:pStyle w:val="TOC3"/>
            <w:tabs>
              <w:tab w:val="left" w:pos="1320"/>
              <w:tab w:val="right" w:leader="dot" w:pos="9062"/>
            </w:tabs>
            <w:rPr>
              <w:noProof/>
              <w:lang w:eastAsia="en-GB"/>
            </w:rPr>
          </w:pPr>
          <w:hyperlink w:anchor="_Toc90297813" w:history="1">
            <w:r w:rsidRPr="00D20ADD">
              <w:rPr>
                <w:rStyle w:val="Hyperlink"/>
                <w:rFonts w:ascii="Arial" w:hAnsi="Arial" w:cs="Arial"/>
                <w:noProof/>
              </w:rPr>
              <w:t>C-4-3</w:t>
            </w:r>
            <w:r>
              <w:rPr>
                <w:noProof/>
                <w:lang w:eastAsia="en-GB"/>
              </w:rPr>
              <w:tab/>
            </w:r>
            <w:r w:rsidRPr="00D20ADD">
              <w:rPr>
                <w:rStyle w:val="Hyperlink"/>
                <w:noProof/>
              </w:rPr>
              <w:t>Trouble shooting</w:t>
            </w:r>
            <w:r>
              <w:rPr>
                <w:noProof/>
                <w:webHidden/>
              </w:rPr>
              <w:tab/>
            </w:r>
            <w:r>
              <w:rPr>
                <w:noProof/>
                <w:webHidden/>
              </w:rPr>
              <w:fldChar w:fldCharType="begin"/>
            </w:r>
            <w:r>
              <w:rPr>
                <w:noProof/>
                <w:webHidden/>
              </w:rPr>
              <w:instrText xml:space="preserve"> PAGEREF _Toc90297813 \h </w:instrText>
            </w:r>
            <w:r>
              <w:rPr>
                <w:noProof/>
                <w:webHidden/>
              </w:rPr>
            </w:r>
            <w:r>
              <w:rPr>
                <w:noProof/>
                <w:webHidden/>
              </w:rPr>
              <w:fldChar w:fldCharType="separate"/>
            </w:r>
            <w:r>
              <w:rPr>
                <w:noProof/>
                <w:webHidden/>
              </w:rPr>
              <w:t>16</w:t>
            </w:r>
            <w:r>
              <w:rPr>
                <w:noProof/>
                <w:webHidden/>
              </w:rPr>
              <w:fldChar w:fldCharType="end"/>
            </w:r>
          </w:hyperlink>
        </w:p>
        <w:p w14:paraId="14C19E35" w14:textId="281FB5AE" w:rsidR="00394B4C" w:rsidRDefault="00394B4C">
          <w:pPr>
            <w:pStyle w:val="TOC3"/>
            <w:tabs>
              <w:tab w:val="left" w:pos="1320"/>
              <w:tab w:val="right" w:leader="dot" w:pos="9062"/>
            </w:tabs>
            <w:rPr>
              <w:noProof/>
              <w:lang w:eastAsia="en-GB"/>
            </w:rPr>
          </w:pPr>
          <w:hyperlink w:anchor="_Toc90297814" w:history="1">
            <w:r w:rsidRPr="00D20ADD">
              <w:rPr>
                <w:rStyle w:val="Hyperlink"/>
                <w:noProof/>
              </w:rPr>
              <w:t>C-4-4</w:t>
            </w:r>
            <w:r>
              <w:rPr>
                <w:noProof/>
                <w:lang w:eastAsia="en-GB"/>
              </w:rPr>
              <w:tab/>
            </w:r>
            <w:r w:rsidRPr="00D20ADD">
              <w:rPr>
                <w:rStyle w:val="Hyperlink"/>
                <w:noProof/>
              </w:rPr>
              <w:t>Resolution</w:t>
            </w:r>
            <w:r>
              <w:rPr>
                <w:noProof/>
                <w:webHidden/>
              </w:rPr>
              <w:tab/>
            </w:r>
            <w:r>
              <w:rPr>
                <w:noProof/>
                <w:webHidden/>
              </w:rPr>
              <w:fldChar w:fldCharType="begin"/>
            </w:r>
            <w:r>
              <w:rPr>
                <w:noProof/>
                <w:webHidden/>
              </w:rPr>
              <w:instrText xml:space="preserve"> PAGEREF _Toc90297814 \h </w:instrText>
            </w:r>
            <w:r>
              <w:rPr>
                <w:noProof/>
                <w:webHidden/>
              </w:rPr>
            </w:r>
            <w:r>
              <w:rPr>
                <w:noProof/>
                <w:webHidden/>
              </w:rPr>
              <w:fldChar w:fldCharType="separate"/>
            </w:r>
            <w:r>
              <w:rPr>
                <w:noProof/>
                <w:webHidden/>
              </w:rPr>
              <w:t>17</w:t>
            </w:r>
            <w:r>
              <w:rPr>
                <w:noProof/>
                <w:webHidden/>
              </w:rPr>
              <w:fldChar w:fldCharType="end"/>
            </w:r>
          </w:hyperlink>
        </w:p>
        <w:p w14:paraId="62DF1B23" w14:textId="58F1F6D2" w:rsidR="00394B4C" w:rsidRDefault="00394B4C">
          <w:pPr>
            <w:pStyle w:val="TOC3"/>
            <w:tabs>
              <w:tab w:val="left" w:pos="1320"/>
              <w:tab w:val="right" w:leader="dot" w:pos="9062"/>
            </w:tabs>
            <w:rPr>
              <w:noProof/>
              <w:lang w:eastAsia="en-GB"/>
            </w:rPr>
          </w:pPr>
          <w:hyperlink w:anchor="_Toc90297815" w:history="1">
            <w:r w:rsidRPr="00D20ADD">
              <w:rPr>
                <w:rStyle w:val="Hyperlink"/>
                <w:noProof/>
              </w:rPr>
              <w:t>C-4-5</w:t>
            </w:r>
            <w:r>
              <w:rPr>
                <w:noProof/>
                <w:lang w:eastAsia="en-GB"/>
              </w:rPr>
              <w:tab/>
            </w:r>
            <w:r w:rsidRPr="00D20ADD">
              <w:rPr>
                <w:rStyle w:val="Hyperlink"/>
                <w:noProof/>
              </w:rPr>
              <w:t>Consideration of line losses</w:t>
            </w:r>
            <w:r>
              <w:rPr>
                <w:noProof/>
                <w:webHidden/>
              </w:rPr>
              <w:tab/>
            </w:r>
            <w:r>
              <w:rPr>
                <w:noProof/>
                <w:webHidden/>
              </w:rPr>
              <w:fldChar w:fldCharType="begin"/>
            </w:r>
            <w:r>
              <w:rPr>
                <w:noProof/>
                <w:webHidden/>
              </w:rPr>
              <w:instrText xml:space="preserve"> PAGEREF _Toc90297815 \h </w:instrText>
            </w:r>
            <w:r>
              <w:rPr>
                <w:noProof/>
                <w:webHidden/>
              </w:rPr>
            </w:r>
            <w:r>
              <w:rPr>
                <w:noProof/>
                <w:webHidden/>
              </w:rPr>
              <w:fldChar w:fldCharType="separate"/>
            </w:r>
            <w:r>
              <w:rPr>
                <w:noProof/>
                <w:webHidden/>
              </w:rPr>
              <w:t>17</w:t>
            </w:r>
            <w:r>
              <w:rPr>
                <w:noProof/>
                <w:webHidden/>
              </w:rPr>
              <w:fldChar w:fldCharType="end"/>
            </w:r>
          </w:hyperlink>
        </w:p>
        <w:p w14:paraId="2420FD49" w14:textId="06B14D31" w:rsidR="00394B4C" w:rsidRDefault="00394B4C">
          <w:pPr>
            <w:pStyle w:val="TOC2"/>
            <w:rPr>
              <w:noProof/>
              <w:lang w:eastAsia="en-GB"/>
            </w:rPr>
          </w:pPr>
          <w:hyperlink w:anchor="_Toc90297816" w:history="1">
            <w:r w:rsidRPr="00D20ADD">
              <w:rPr>
                <w:rStyle w:val="Hyperlink"/>
                <w:noProof/>
              </w:rPr>
              <w:t>C-5</w:t>
            </w:r>
            <w:r>
              <w:rPr>
                <w:noProof/>
                <w:lang w:eastAsia="en-GB"/>
              </w:rPr>
              <w:tab/>
            </w:r>
            <w:r w:rsidRPr="00D20ADD">
              <w:rPr>
                <w:rStyle w:val="Hyperlink"/>
                <w:noProof/>
              </w:rPr>
              <w:t>Standards - Accounting process</w:t>
            </w:r>
            <w:r>
              <w:rPr>
                <w:noProof/>
                <w:webHidden/>
              </w:rPr>
              <w:tab/>
            </w:r>
            <w:r>
              <w:rPr>
                <w:noProof/>
                <w:webHidden/>
              </w:rPr>
              <w:fldChar w:fldCharType="begin"/>
            </w:r>
            <w:r>
              <w:rPr>
                <w:noProof/>
                <w:webHidden/>
              </w:rPr>
              <w:instrText xml:space="preserve"> PAGEREF _Toc90297816 \h </w:instrText>
            </w:r>
            <w:r>
              <w:rPr>
                <w:noProof/>
                <w:webHidden/>
              </w:rPr>
            </w:r>
            <w:r>
              <w:rPr>
                <w:noProof/>
                <w:webHidden/>
              </w:rPr>
              <w:fldChar w:fldCharType="separate"/>
            </w:r>
            <w:r>
              <w:rPr>
                <w:noProof/>
                <w:webHidden/>
              </w:rPr>
              <w:t>18</w:t>
            </w:r>
            <w:r>
              <w:rPr>
                <w:noProof/>
                <w:webHidden/>
              </w:rPr>
              <w:fldChar w:fldCharType="end"/>
            </w:r>
          </w:hyperlink>
        </w:p>
        <w:p w14:paraId="20A19EC1" w14:textId="693071DA" w:rsidR="00394B4C" w:rsidRDefault="00394B4C">
          <w:pPr>
            <w:pStyle w:val="TOC3"/>
            <w:tabs>
              <w:tab w:val="left" w:pos="1320"/>
              <w:tab w:val="right" w:leader="dot" w:pos="9062"/>
            </w:tabs>
            <w:rPr>
              <w:noProof/>
              <w:lang w:eastAsia="en-GB"/>
            </w:rPr>
          </w:pPr>
          <w:hyperlink w:anchor="_Toc90297817" w:history="1">
            <w:r w:rsidRPr="00D20ADD">
              <w:rPr>
                <w:rStyle w:val="Hyperlink"/>
                <w:noProof/>
              </w:rPr>
              <w:t>C-5-1</w:t>
            </w:r>
            <w:r>
              <w:rPr>
                <w:noProof/>
                <w:lang w:eastAsia="en-GB"/>
              </w:rPr>
              <w:tab/>
            </w:r>
            <w:r w:rsidRPr="00D20ADD">
              <w:rPr>
                <w:rStyle w:val="Hyperlink"/>
                <w:noProof/>
              </w:rPr>
              <w:t>Overview</w:t>
            </w:r>
            <w:r>
              <w:rPr>
                <w:noProof/>
                <w:webHidden/>
              </w:rPr>
              <w:tab/>
            </w:r>
            <w:r>
              <w:rPr>
                <w:noProof/>
                <w:webHidden/>
              </w:rPr>
              <w:fldChar w:fldCharType="begin"/>
            </w:r>
            <w:r>
              <w:rPr>
                <w:noProof/>
                <w:webHidden/>
              </w:rPr>
              <w:instrText xml:space="preserve"> PAGEREF _Toc90297817 \h </w:instrText>
            </w:r>
            <w:r>
              <w:rPr>
                <w:noProof/>
                <w:webHidden/>
              </w:rPr>
            </w:r>
            <w:r>
              <w:rPr>
                <w:noProof/>
                <w:webHidden/>
              </w:rPr>
              <w:fldChar w:fldCharType="separate"/>
            </w:r>
            <w:r>
              <w:rPr>
                <w:noProof/>
                <w:webHidden/>
              </w:rPr>
              <w:t>18</w:t>
            </w:r>
            <w:r>
              <w:rPr>
                <w:noProof/>
                <w:webHidden/>
              </w:rPr>
              <w:fldChar w:fldCharType="end"/>
            </w:r>
          </w:hyperlink>
        </w:p>
        <w:p w14:paraId="735425A8" w14:textId="58AF7C94" w:rsidR="00394B4C" w:rsidRDefault="00394B4C">
          <w:pPr>
            <w:pStyle w:val="TOC3"/>
            <w:tabs>
              <w:tab w:val="left" w:pos="1320"/>
              <w:tab w:val="right" w:leader="dot" w:pos="9062"/>
            </w:tabs>
            <w:rPr>
              <w:noProof/>
              <w:lang w:eastAsia="en-GB"/>
            </w:rPr>
          </w:pPr>
          <w:hyperlink w:anchor="_Toc90297818" w:history="1">
            <w:r w:rsidRPr="00D20ADD">
              <w:rPr>
                <w:rStyle w:val="Hyperlink"/>
                <w:noProof/>
              </w:rPr>
              <w:t>C-5-2</w:t>
            </w:r>
            <w:r>
              <w:rPr>
                <w:noProof/>
                <w:lang w:eastAsia="en-GB"/>
              </w:rPr>
              <w:tab/>
            </w:r>
            <w:r w:rsidRPr="00D20ADD">
              <w:rPr>
                <w:rStyle w:val="Hyperlink"/>
                <w:noProof/>
              </w:rPr>
              <w:t>Accounting data exchange between TSOs in the SA CE</w:t>
            </w:r>
            <w:r>
              <w:rPr>
                <w:noProof/>
                <w:webHidden/>
              </w:rPr>
              <w:tab/>
            </w:r>
            <w:r>
              <w:rPr>
                <w:noProof/>
                <w:webHidden/>
              </w:rPr>
              <w:fldChar w:fldCharType="begin"/>
            </w:r>
            <w:r>
              <w:rPr>
                <w:noProof/>
                <w:webHidden/>
              </w:rPr>
              <w:instrText xml:space="preserve"> PAGEREF _Toc90297818 \h </w:instrText>
            </w:r>
            <w:r>
              <w:rPr>
                <w:noProof/>
                <w:webHidden/>
              </w:rPr>
            </w:r>
            <w:r>
              <w:rPr>
                <w:noProof/>
                <w:webHidden/>
              </w:rPr>
              <w:fldChar w:fldCharType="separate"/>
            </w:r>
            <w:r>
              <w:rPr>
                <w:noProof/>
                <w:webHidden/>
              </w:rPr>
              <w:t>18</w:t>
            </w:r>
            <w:r>
              <w:rPr>
                <w:noProof/>
                <w:webHidden/>
              </w:rPr>
              <w:fldChar w:fldCharType="end"/>
            </w:r>
          </w:hyperlink>
        </w:p>
        <w:p w14:paraId="7E358C2C" w14:textId="2318A4C5" w:rsidR="00394B4C" w:rsidRDefault="00394B4C">
          <w:pPr>
            <w:pStyle w:val="TOC3"/>
            <w:tabs>
              <w:tab w:val="left" w:pos="1320"/>
              <w:tab w:val="right" w:leader="dot" w:pos="9062"/>
            </w:tabs>
            <w:rPr>
              <w:noProof/>
              <w:lang w:eastAsia="en-GB"/>
            </w:rPr>
          </w:pPr>
          <w:hyperlink w:anchor="_Toc90297819" w:history="1">
            <w:r w:rsidRPr="00D20ADD">
              <w:rPr>
                <w:rStyle w:val="Hyperlink"/>
                <w:noProof/>
              </w:rPr>
              <w:t>C-5-3</w:t>
            </w:r>
            <w:r>
              <w:rPr>
                <w:noProof/>
                <w:lang w:eastAsia="en-GB"/>
              </w:rPr>
              <w:tab/>
            </w:r>
            <w:r w:rsidRPr="00D20ADD">
              <w:rPr>
                <w:rStyle w:val="Hyperlink"/>
                <w:noProof/>
              </w:rPr>
              <w:t>Workflow of accounting process</w:t>
            </w:r>
            <w:r>
              <w:rPr>
                <w:noProof/>
                <w:webHidden/>
              </w:rPr>
              <w:tab/>
            </w:r>
            <w:r>
              <w:rPr>
                <w:noProof/>
                <w:webHidden/>
              </w:rPr>
              <w:fldChar w:fldCharType="begin"/>
            </w:r>
            <w:r>
              <w:rPr>
                <w:noProof/>
                <w:webHidden/>
              </w:rPr>
              <w:instrText xml:space="preserve"> PAGEREF _Toc90297819 \h </w:instrText>
            </w:r>
            <w:r>
              <w:rPr>
                <w:noProof/>
                <w:webHidden/>
              </w:rPr>
            </w:r>
            <w:r>
              <w:rPr>
                <w:noProof/>
                <w:webHidden/>
              </w:rPr>
              <w:fldChar w:fldCharType="separate"/>
            </w:r>
            <w:r>
              <w:rPr>
                <w:noProof/>
                <w:webHidden/>
              </w:rPr>
              <w:t>20</w:t>
            </w:r>
            <w:r>
              <w:rPr>
                <w:noProof/>
                <w:webHidden/>
              </w:rPr>
              <w:fldChar w:fldCharType="end"/>
            </w:r>
          </w:hyperlink>
        </w:p>
        <w:p w14:paraId="674F74C9" w14:textId="04C5A587" w:rsidR="00394B4C" w:rsidRDefault="00394B4C">
          <w:pPr>
            <w:pStyle w:val="TOC2"/>
            <w:rPr>
              <w:noProof/>
              <w:lang w:eastAsia="en-GB"/>
            </w:rPr>
          </w:pPr>
          <w:hyperlink w:anchor="_Toc90297820" w:history="1">
            <w:r w:rsidRPr="00D20ADD">
              <w:rPr>
                <w:rStyle w:val="Hyperlink"/>
                <w:noProof/>
              </w:rPr>
              <w:t>C-6</w:t>
            </w:r>
            <w:r>
              <w:rPr>
                <w:noProof/>
                <w:lang w:eastAsia="en-GB"/>
              </w:rPr>
              <w:tab/>
            </w:r>
            <w:r w:rsidRPr="00D20ADD">
              <w:rPr>
                <w:rStyle w:val="Hyperlink"/>
                <w:noProof/>
              </w:rPr>
              <w:t>Standards - Settlement process</w:t>
            </w:r>
            <w:r>
              <w:rPr>
                <w:noProof/>
                <w:webHidden/>
              </w:rPr>
              <w:tab/>
            </w:r>
            <w:r>
              <w:rPr>
                <w:noProof/>
                <w:webHidden/>
              </w:rPr>
              <w:fldChar w:fldCharType="begin"/>
            </w:r>
            <w:r>
              <w:rPr>
                <w:noProof/>
                <w:webHidden/>
              </w:rPr>
              <w:instrText xml:space="preserve"> PAGEREF _Toc90297820 \h </w:instrText>
            </w:r>
            <w:r>
              <w:rPr>
                <w:noProof/>
                <w:webHidden/>
              </w:rPr>
            </w:r>
            <w:r>
              <w:rPr>
                <w:noProof/>
                <w:webHidden/>
              </w:rPr>
              <w:fldChar w:fldCharType="separate"/>
            </w:r>
            <w:r>
              <w:rPr>
                <w:noProof/>
                <w:webHidden/>
              </w:rPr>
              <w:t>22</w:t>
            </w:r>
            <w:r>
              <w:rPr>
                <w:noProof/>
                <w:webHidden/>
              </w:rPr>
              <w:fldChar w:fldCharType="end"/>
            </w:r>
          </w:hyperlink>
        </w:p>
        <w:p w14:paraId="6E402626" w14:textId="35A1CB2A" w:rsidR="00394B4C" w:rsidRDefault="00394B4C">
          <w:pPr>
            <w:pStyle w:val="TOC3"/>
            <w:tabs>
              <w:tab w:val="left" w:pos="1320"/>
              <w:tab w:val="right" w:leader="dot" w:pos="9062"/>
            </w:tabs>
            <w:rPr>
              <w:noProof/>
              <w:lang w:eastAsia="en-GB"/>
            </w:rPr>
          </w:pPr>
          <w:hyperlink w:anchor="_Toc90297821" w:history="1">
            <w:r w:rsidRPr="00D20ADD">
              <w:rPr>
                <w:rStyle w:val="Hyperlink"/>
                <w:noProof/>
              </w:rPr>
              <w:t>C-6-1</w:t>
            </w:r>
            <w:r>
              <w:rPr>
                <w:noProof/>
                <w:lang w:eastAsia="en-GB"/>
              </w:rPr>
              <w:tab/>
            </w:r>
            <w:r w:rsidRPr="00D20ADD">
              <w:rPr>
                <w:rStyle w:val="Hyperlink"/>
                <w:noProof/>
              </w:rPr>
              <w:t>Overview</w:t>
            </w:r>
            <w:r>
              <w:rPr>
                <w:noProof/>
                <w:webHidden/>
              </w:rPr>
              <w:tab/>
            </w:r>
            <w:r>
              <w:rPr>
                <w:noProof/>
                <w:webHidden/>
              </w:rPr>
              <w:fldChar w:fldCharType="begin"/>
            </w:r>
            <w:r>
              <w:rPr>
                <w:noProof/>
                <w:webHidden/>
              </w:rPr>
              <w:instrText xml:space="preserve"> PAGEREF _Toc90297821 \h </w:instrText>
            </w:r>
            <w:r>
              <w:rPr>
                <w:noProof/>
                <w:webHidden/>
              </w:rPr>
            </w:r>
            <w:r>
              <w:rPr>
                <w:noProof/>
                <w:webHidden/>
              </w:rPr>
              <w:fldChar w:fldCharType="separate"/>
            </w:r>
            <w:r>
              <w:rPr>
                <w:noProof/>
                <w:webHidden/>
              </w:rPr>
              <w:t>22</w:t>
            </w:r>
            <w:r>
              <w:rPr>
                <w:noProof/>
                <w:webHidden/>
              </w:rPr>
              <w:fldChar w:fldCharType="end"/>
            </w:r>
          </w:hyperlink>
        </w:p>
        <w:p w14:paraId="2E04658F" w14:textId="2F14DE3C" w:rsidR="00394B4C" w:rsidRDefault="00394B4C">
          <w:pPr>
            <w:pStyle w:val="TOC3"/>
            <w:tabs>
              <w:tab w:val="left" w:pos="1320"/>
              <w:tab w:val="right" w:leader="dot" w:pos="9062"/>
            </w:tabs>
            <w:rPr>
              <w:noProof/>
              <w:lang w:eastAsia="en-GB"/>
            </w:rPr>
          </w:pPr>
          <w:hyperlink w:anchor="_Toc90297822" w:history="1">
            <w:r w:rsidRPr="00D20ADD">
              <w:rPr>
                <w:rStyle w:val="Hyperlink"/>
                <w:noProof/>
              </w:rPr>
              <w:t>C-6-2</w:t>
            </w:r>
            <w:r>
              <w:rPr>
                <w:noProof/>
                <w:lang w:eastAsia="en-GB"/>
              </w:rPr>
              <w:tab/>
            </w:r>
            <w:r w:rsidRPr="00D20ADD">
              <w:rPr>
                <w:rStyle w:val="Hyperlink"/>
                <w:noProof/>
              </w:rPr>
              <w:t>Workflow of settlement process</w:t>
            </w:r>
            <w:r>
              <w:rPr>
                <w:noProof/>
                <w:webHidden/>
              </w:rPr>
              <w:tab/>
            </w:r>
            <w:r>
              <w:rPr>
                <w:noProof/>
                <w:webHidden/>
              </w:rPr>
              <w:fldChar w:fldCharType="begin"/>
            </w:r>
            <w:r>
              <w:rPr>
                <w:noProof/>
                <w:webHidden/>
              </w:rPr>
              <w:instrText xml:space="preserve"> PAGEREF _Toc90297822 \h </w:instrText>
            </w:r>
            <w:r>
              <w:rPr>
                <w:noProof/>
                <w:webHidden/>
              </w:rPr>
            </w:r>
            <w:r>
              <w:rPr>
                <w:noProof/>
                <w:webHidden/>
              </w:rPr>
              <w:fldChar w:fldCharType="separate"/>
            </w:r>
            <w:r>
              <w:rPr>
                <w:noProof/>
                <w:webHidden/>
              </w:rPr>
              <w:t>22</w:t>
            </w:r>
            <w:r>
              <w:rPr>
                <w:noProof/>
                <w:webHidden/>
              </w:rPr>
              <w:fldChar w:fldCharType="end"/>
            </w:r>
          </w:hyperlink>
        </w:p>
        <w:p w14:paraId="79B8EC32" w14:textId="0F38F727" w:rsidR="00394B4C" w:rsidRDefault="00394B4C">
          <w:pPr>
            <w:pStyle w:val="TOC3"/>
            <w:tabs>
              <w:tab w:val="left" w:pos="1320"/>
              <w:tab w:val="right" w:leader="dot" w:pos="9062"/>
            </w:tabs>
            <w:rPr>
              <w:noProof/>
              <w:lang w:eastAsia="en-GB"/>
            </w:rPr>
          </w:pPr>
          <w:hyperlink w:anchor="_Toc90297823" w:history="1">
            <w:r w:rsidRPr="00D20ADD">
              <w:rPr>
                <w:rStyle w:val="Hyperlink"/>
                <w:noProof/>
              </w:rPr>
              <w:t>C-6-3</w:t>
            </w:r>
            <w:r>
              <w:rPr>
                <w:noProof/>
                <w:lang w:eastAsia="en-GB"/>
              </w:rPr>
              <w:tab/>
            </w:r>
            <w:r w:rsidRPr="00D20ADD">
              <w:rPr>
                <w:rStyle w:val="Hyperlink"/>
                <w:noProof/>
              </w:rPr>
              <w:t>Extraordinary measures</w:t>
            </w:r>
            <w:r>
              <w:rPr>
                <w:noProof/>
                <w:webHidden/>
              </w:rPr>
              <w:tab/>
            </w:r>
            <w:r>
              <w:rPr>
                <w:noProof/>
                <w:webHidden/>
              </w:rPr>
              <w:fldChar w:fldCharType="begin"/>
            </w:r>
            <w:r>
              <w:rPr>
                <w:noProof/>
                <w:webHidden/>
              </w:rPr>
              <w:instrText xml:space="preserve"> PAGEREF _Toc90297823 \h </w:instrText>
            </w:r>
            <w:r>
              <w:rPr>
                <w:noProof/>
                <w:webHidden/>
              </w:rPr>
            </w:r>
            <w:r>
              <w:rPr>
                <w:noProof/>
                <w:webHidden/>
              </w:rPr>
              <w:fldChar w:fldCharType="separate"/>
            </w:r>
            <w:r>
              <w:rPr>
                <w:noProof/>
                <w:webHidden/>
              </w:rPr>
              <w:t>24</w:t>
            </w:r>
            <w:r>
              <w:rPr>
                <w:noProof/>
                <w:webHidden/>
              </w:rPr>
              <w:fldChar w:fldCharType="end"/>
            </w:r>
          </w:hyperlink>
        </w:p>
        <w:p w14:paraId="464A44C8" w14:textId="32FBF1BE" w:rsidR="00394B4C" w:rsidRDefault="00394B4C">
          <w:pPr>
            <w:pStyle w:val="TOC2"/>
            <w:rPr>
              <w:noProof/>
              <w:lang w:eastAsia="en-GB"/>
            </w:rPr>
          </w:pPr>
          <w:hyperlink w:anchor="_Toc90297824" w:history="1">
            <w:r w:rsidRPr="00D20ADD">
              <w:rPr>
                <w:rStyle w:val="Hyperlink"/>
                <w:noProof/>
              </w:rPr>
              <w:t>C-7</w:t>
            </w:r>
            <w:r>
              <w:rPr>
                <w:noProof/>
                <w:lang w:eastAsia="en-GB"/>
              </w:rPr>
              <w:tab/>
            </w:r>
            <w:r w:rsidRPr="00D20ADD">
              <w:rPr>
                <w:rStyle w:val="Hyperlink"/>
                <w:noProof/>
              </w:rPr>
              <w:t>Guidelines</w:t>
            </w:r>
            <w:r>
              <w:rPr>
                <w:noProof/>
                <w:webHidden/>
              </w:rPr>
              <w:tab/>
            </w:r>
            <w:r>
              <w:rPr>
                <w:noProof/>
                <w:webHidden/>
              </w:rPr>
              <w:fldChar w:fldCharType="begin"/>
            </w:r>
            <w:r>
              <w:rPr>
                <w:noProof/>
                <w:webHidden/>
              </w:rPr>
              <w:instrText xml:space="preserve"> PAGEREF _Toc90297824 \h </w:instrText>
            </w:r>
            <w:r>
              <w:rPr>
                <w:noProof/>
                <w:webHidden/>
              </w:rPr>
            </w:r>
            <w:r>
              <w:rPr>
                <w:noProof/>
                <w:webHidden/>
              </w:rPr>
              <w:fldChar w:fldCharType="separate"/>
            </w:r>
            <w:r>
              <w:rPr>
                <w:noProof/>
                <w:webHidden/>
              </w:rPr>
              <w:t>25</w:t>
            </w:r>
            <w:r>
              <w:rPr>
                <w:noProof/>
                <w:webHidden/>
              </w:rPr>
              <w:fldChar w:fldCharType="end"/>
            </w:r>
          </w:hyperlink>
        </w:p>
        <w:p w14:paraId="2A3D87FF" w14:textId="6D84CD0A" w:rsidR="00394B4C" w:rsidRDefault="00394B4C">
          <w:pPr>
            <w:pStyle w:val="TOC3"/>
            <w:tabs>
              <w:tab w:val="left" w:pos="1320"/>
              <w:tab w:val="right" w:leader="dot" w:pos="9062"/>
            </w:tabs>
            <w:rPr>
              <w:noProof/>
              <w:lang w:eastAsia="en-GB"/>
            </w:rPr>
          </w:pPr>
          <w:hyperlink w:anchor="_Toc90297825" w:history="1">
            <w:r w:rsidRPr="00D20ADD">
              <w:rPr>
                <w:rStyle w:val="Hyperlink"/>
                <w:noProof/>
              </w:rPr>
              <w:t>C-7-1</w:t>
            </w:r>
            <w:r>
              <w:rPr>
                <w:noProof/>
                <w:lang w:eastAsia="en-GB"/>
              </w:rPr>
              <w:tab/>
            </w:r>
            <w:r w:rsidRPr="00D20ADD">
              <w:rPr>
                <w:rStyle w:val="Hyperlink"/>
                <w:noProof/>
              </w:rPr>
              <w:t>Troubleshooting for the accounting process.</w:t>
            </w:r>
            <w:r>
              <w:rPr>
                <w:noProof/>
                <w:webHidden/>
              </w:rPr>
              <w:tab/>
            </w:r>
            <w:r>
              <w:rPr>
                <w:noProof/>
                <w:webHidden/>
              </w:rPr>
              <w:fldChar w:fldCharType="begin"/>
            </w:r>
            <w:r>
              <w:rPr>
                <w:noProof/>
                <w:webHidden/>
              </w:rPr>
              <w:instrText xml:space="preserve"> PAGEREF _Toc90297825 \h </w:instrText>
            </w:r>
            <w:r>
              <w:rPr>
                <w:noProof/>
                <w:webHidden/>
              </w:rPr>
            </w:r>
            <w:r>
              <w:rPr>
                <w:noProof/>
                <w:webHidden/>
              </w:rPr>
              <w:fldChar w:fldCharType="separate"/>
            </w:r>
            <w:r>
              <w:rPr>
                <w:noProof/>
                <w:webHidden/>
              </w:rPr>
              <w:t>25</w:t>
            </w:r>
            <w:r>
              <w:rPr>
                <w:noProof/>
                <w:webHidden/>
              </w:rPr>
              <w:fldChar w:fldCharType="end"/>
            </w:r>
          </w:hyperlink>
        </w:p>
        <w:p w14:paraId="1597053A" w14:textId="25A73690" w:rsidR="00394B4C" w:rsidRDefault="00394B4C">
          <w:pPr>
            <w:pStyle w:val="TOC3"/>
            <w:tabs>
              <w:tab w:val="left" w:pos="1320"/>
              <w:tab w:val="right" w:leader="dot" w:pos="9062"/>
            </w:tabs>
            <w:rPr>
              <w:noProof/>
              <w:lang w:eastAsia="en-GB"/>
            </w:rPr>
          </w:pPr>
          <w:hyperlink w:anchor="_Toc90297826" w:history="1">
            <w:r w:rsidRPr="00D20ADD">
              <w:rPr>
                <w:rStyle w:val="Hyperlink"/>
                <w:noProof/>
              </w:rPr>
              <w:t>C-7-2</w:t>
            </w:r>
            <w:r>
              <w:rPr>
                <w:noProof/>
                <w:lang w:eastAsia="en-GB"/>
              </w:rPr>
              <w:tab/>
            </w:r>
            <w:r w:rsidRPr="00D20ADD">
              <w:rPr>
                <w:rStyle w:val="Hyperlink"/>
                <w:noProof/>
              </w:rPr>
              <w:t>Timeframe for changing the accounting data</w:t>
            </w:r>
            <w:r>
              <w:rPr>
                <w:noProof/>
                <w:webHidden/>
              </w:rPr>
              <w:tab/>
            </w:r>
            <w:r>
              <w:rPr>
                <w:noProof/>
                <w:webHidden/>
              </w:rPr>
              <w:fldChar w:fldCharType="begin"/>
            </w:r>
            <w:r>
              <w:rPr>
                <w:noProof/>
                <w:webHidden/>
              </w:rPr>
              <w:instrText xml:space="preserve"> PAGEREF _Toc90297826 \h </w:instrText>
            </w:r>
            <w:r>
              <w:rPr>
                <w:noProof/>
                <w:webHidden/>
              </w:rPr>
            </w:r>
            <w:r>
              <w:rPr>
                <w:noProof/>
                <w:webHidden/>
              </w:rPr>
              <w:fldChar w:fldCharType="separate"/>
            </w:r>
            <w:r>
              <w:rPr>
                <w:noProof/>
                <w:webHidden/>
              </w:rPr>
              <w:t>26</w:t>
            </w:r>
            <w:r>
              <w:rPr>
                <w:noProof/>
                <w:webHidden/>
              </w:rPr>
              <w:fldChar w:fldCharType="end"/>
            </w:r>
          </w:hyperlink>
        </w:p>
        <w:p w14:paraId="5DB02F67" w14:textId="757FBCF1" w:rsidR="00394B4C" w:rsidRDefault="00394B4C">
          <w:pPr>
            <w:pStyle w:val="TOC3"/>
            <w:tabs>
              <w:tab w:val="left" w:pos="1320"/>
              <w:tab w:val="right" w:leader="dot" w:pos="9062"/>
            </w:tabs>
            <w:rPr>
              <w:noProof/>
              <w:lang w:eastAsia="en-GB"/>
            </w:rPr>
          </w:pPr>
          <w:hyperlink w:anchor="_Toc90297827" w:history="1">
            <w:r w:rsidRPr="00D20ADD">
              <w:rPr>
                <w:rStyle w:val="Hyperlink"/>
                <w:noProof/>
              </w:rPr>
              <w:t>C-7-3</w:t>
            </w:r>
            <w:r>
              <w:rPr>
                <w:noProof/>
                <w:lang w:eastAsia="en-GB"/>
              </w:rPr>
              <w:tab/>
            </w:r>
            <w:r w:rsidRPr="00D20ADD">
              <w:rPr>
                <w:rStyle w:val="Hyperlink"/>
                <w:noProof/>
              </w:rPr>
              <w:t>Timeframe for changing the verified ANES</w:t>
            </w:r>
            <w:r>
              <w:rPr>
                <w:noProof/>
                <w:webHidden/>
              </w:rPr>
              <w:tab/>
            </w:r>
            <w:r>
              <w:rPr>
                <w:noProof/>
                <w:webHidden/>
              </w:rPr>
              <w:fldChar w:fldCharType="begin"/>
            </w:r>
            <w:r>
              <w:rPr>
                <w:noProof/>
                <w:webHidden/>
              </w:rPr>
              <w:instrText xml:space="preserve"> PAGEREF _Toc90297827 \h </w:instrText>
            </w:r>
            <w:r>
              <w:rPr>
                <w:noProof/>
                <w:webHidden/>
              </w:rPr>
            </w:r>
            <w:r>
              <w:rPr>
                <w:noProof/>
                <w:webHidden/>
              </w:rPr>
              <w:fldChar w:fldCharType="separate"/>
            </w:r>
            <w:r>
              <w:rPr>
                <w:noProof/>
                <w:webHidden/>
              </w:rPr>
              <w:t>26</w:t>
            </w:r>
            <w:r>
              <w:rPr>
                <w:noProof/>
                <w:webHidden/>
              </w:rPr>
              <w:fldChar w:fldCharType="end"/>
            </w:r>
          </w:hyperlink>
        </w:p>
        <w:p w14:paraId="4B175823" w14:textId="5C237606" w:rsidR="00394B4C" w:rsidRDefault="00394B4C">
          <w:pPr>
            <w:pStyle w:val="TOC3"/>
            <w:tabs>
              <w:tab w:val="left" w:pos="1320"/>
              <w:tab w:val="right" w:leader="dot" w:pos="9062"/>
            </w:tabs>
            <w:rPr>
              <w:noProof/>
              <w:lang w:eastAsia="en-GB"/>
            </w:rPr>
          </w:pPr>
          <w:hyperlink w:anchor="_Toc90297828" w:history="1">
            <w:r w:rsidRPr="00D20ADD">
              <w:rPr>
                <w:rStyle w:val="Hyperlink"/>
                <w:noProof/>
              </w:rPr>
              <w:t>C-7-4</w:t>
            </w:r>
            <w:r>
              <w:rPr>
                <w:noProof/>
                <w:lang w:eastAsia="en-GB"/>
              </w:rPr>
              <w:tab/>
            </w:r>
            <w:r w:rsidRPr="00D20ADD">
              <w:rPr>
                <w:rStyle w:val="Hyperlink"/>
                <w:noProof/>
              </w:rPr>
              <w:t>Timeframe for changing other inputs</w:t>
            </w:r>
            <w:r>
              <w:rPr>
                <w:noProof/>
                <w:webHidden/>
              </w:rPr>
              <w:tab/>
            </w:r>
            <w:r>
              <w:rPr>
                <w:noProof/>
                <w:webHidden/>
              </w:rPr>
              <w:fldChar w:fldCharType="begin"/>
            </w:r>
            <w:r>
              <w:rPr>
                <w:noProof/>
                <w:webHidden/>
              </w:rPr>
              <w:instrText xml:space="preserve"> PAGEREF _Toc90297828 \h </w:instrText>
            </w:r>
            <w:r>
              <w:rPr>
                <w:noProof/>
                <w:webHidden/>
              </w:rPr>
            </w:r>
            <w:r>
              <w:rPr>
                <w:noProof/>
                <w:webHidden/>
              </w:rPr>
              <w:fldChar w:fldCharType="separate"/>
            </w:r>
            <w:r>
              <w:rPr>
                <w:noProof/>
                <w:webHidden/>
              </w:rPr>
              <w:t>26</w:t>
            </w:r>
            <w:r>
              <w:rPr>
                <w:noProof/>
                <w:webHidden/>
              </w:rPr>
              <w:fldChar w:fldCharType="end"/>
            </w:r>
          </w:hyperlink>
        </w:p>
        <w:p w14:paraId="599D08C3" w14:textId="3A5E9E0D" w:rsidR="00394B4C" w:rsidRDefault="00394B4C">
          <w:pPr>
            <w:pStyle w:val="TOC2"/>
            <w:rPr>
              <w:noProof/>
              <w:lang w:eastAsia="en-GB"/>
            </w:rPr>
          </w:pPr>
          <w:hyperlink w:anchor="_Toc90297829" w:history="1">
            <w:r w:rsidRPr="00D20ADD">
              <w:rPr>
                <w:rStyle w:val="Hyperlink"/>
                <w:noProof/>
              </w:rPr>
              <w:t>C-8</w:t>
            </w:r>
            <w:r>
              <w:rPr>
                <w:noProof/>
                <w:lang w:eastAsia="en-GB"/>
              </w:rPr>
              <w:tab/>
            </w:r>
            <w:r w:rsidRPr="00D20ADD">
              <w:rPr>
                <w:rStyle w:val="Hyperlink"/>
                <w:noProof/>
              </w:rPr>
              <w:t>Entities</w:t>
            </w:r>
            <w:r>
              <w:rPr>
                <w:noProof/>
                <w:webHidden/>
              </w:rPr>
              <w:tab/>
            </w:r>
            <w:r>
              <w:rPr>
                <w:noProof/>
                <w:webHidden/>
              </w:rPr>
              <w:fldChar w:fldCharType="begin"/>
            </w:r>
            <w:r>
              <w:rPr>
                <w:noProof/>
                <w:webHidden/>
              </w:rPr>
              <w:instrText xml:space="preserve"> PAGEREF _Toc90297829 \h </w:instrText>
            </w:r>
            <w:r>
              <w:rPr>
                <w:noProof/>
                <w:webHidden/>
              </w:rPr>
            </w:r>
            <w:r>
              <w:rPr>
                <w:noProof/>
                <w:webHidden/>
              </w:rPr>
              <w:fldChar w:fldCharType="separate"/>
            </w:r>
            <w:r>
              <w:rPr>
                <w:noProof/>
                <w:webHidden/>
              </w:rPr>
              <w:t>27</w:t>
            </w:r>
            <w:r>
              <w:rPr>
                <w:noProof/>
                <w:webHidden/>
              </w:rPr>
              <w:fldChar w:fldCharType="end"/>
            </w:r>
          </w:hyperlink>
        </w:p>
        <w:p w14:paraId="7865F6B4" w14:textId="49A27E1C" w:rsidR="00394B4C" w:rsidRDefault="00394B4C">
          <w:pPr>
            <w:pStyle w:val="TOC2"/>
            <w:rPr>
              <w:noProof/>
              <w:lang w:eastAsia="en-GB"/>
            </w:rPr>
          </w:pPr>
          <w:hyperlink w:anchor="_Toc90297830" w:history="1">
            <w:r w:rsidRPr="00D20ADD">
              <w:rPr>
                <w:rStyle w:val="Hyperlink"/>
                <w:noProof/>
              </w:rPr>
              <w:t>C-9</w:t>
            </w:r>
            <w:r>
              <w:rPr>
                <w:noProof/>
                <w:lang w:eastAsia="en-GB"/>
              </w:rPr>
              <w:tab/>
            </w:r>
            <w:r w:rsidRPr="00D20ADD">
              <w:rPr>
                <w:rStyle w:val="Hyperlink"/>
                <w:noProof/>
              </w:rPr>
              <w:t>Remuneration</w:t>
            </w:r>
            <w:r>
              <w:rPr>
                <w:noProof/>
                <w:webHidden/>
              </w:rPr>
              <w:tab/>
            </w:r>
            <w:r>
              <w:rPr>
                <w:noProof/>
                <w:webHidden/>
              </w:rPr>
              <w:fldChar w:fldCharType="begin"/>
            </w:r>
            <w:r>
              <w:rPr>
                <w:noProof/>
                <w:webHidden/>
              </w:rPr>
              <w:instrText xml:space="preserve"> PAGEREF _Toc90297830 \h </w:instrText>
            </w:r>
            <w:r>
              <w:rPr>
                <w:noProof/>
                <w:webHidden/>
              </w:rPr>
            </w:r>
            <w:r>
              <w:rPr>
                <w:noProof/>
                <w:webHidden/>
              </w:rPr>
              <w:fldChar w:fldCharType="separate"/>
            </w:r>
            <w:r>
              <w:rPr>
                <w:noProof/>
                <w:webHidden/>
              </w:rPr>
              <w:t>27</w:t>
            </w:r>
            <w:r>
              <w:rPr>
                <w:noProof/>
                <w:webHidden/>
              </w:rPr>
              <w:fldChar w:fldCharType="end"/>
            </w:r>
          </w:hyperlink>
        </w:p>
        <w:p w14:paraId="7AB65DBC" w14:textId="2FE37B29" w:rsidR="00394B4C" w:rsidRDefault="00394B4C">
          <w:pPr>
            <w:pStyle w:val="TOC2"/>
            <w:rPr>
              <w:noProof/>
              <w:lang w:eastAsia="en-GB"/>
            </w:rPr>
          </w:pPr>
          <w:hyperlink w:anchor="_Toc90297831" w:history="1">
            <w:r w:rsidRPr="00D20ADD">
              <w:rPr>
                <w:rStyle w:val="Hyperlink"/>
                <w:noProof/>
              </w:rPr>
              <w:t>C-10</w:t>
            </w:r>
            <w:r>
              <w:rPr>
                <w:noProof/>
                <w:lang w:eastAsia="en-GB"/>
              </w:rPr>
              <w:tab/>
            </w:r>
            <w:r w:rsidRPr="00D20ADD">
              <w:rPr>
                <w:rStyle w:val="Hyperlink"/>
                <w:noProof/>
              </w:rPr>
              <w:t>Transitory provision</w:t>
            </w:r>
            <w:r>
              <w:rPr>
                <w:noProof/>
                <w:webHidden/>
              </w:rPr>
              <w:tab/>
            </w:r>
            <w:r>
              <w:rPr>
                <w:noProof/>
                <w:webHidden/>
              </w:rPr>
              <w:fldChar w:fldCharType="begin"/>
            </w:r>
            <w:r>
              <w:rPr>
                <w:noProof/>
                <w:webHidden/>
              </w:rPr>
              <w:instrText xml:space="preserve"> PAGEREF _Toc90297831 \h </w:instrText>
            </w:r>
            <w:r>
              <w:rPr>
                <w:noProof/>
                <w:webHidden/>
              </w:rPr>
            </w:r>
            <w:r>
              <w:rPr>
                <w:noProof/>
                <w:webHidden/>
              </w:rPr>
              <w:fldChar w:fldCharType="separate"/>
            </w:r>
            <w:r>
              <w:rPr>
                <w:noProof/>
                <w:webHidden/>
              </w:rPr>
              <w:t>32</w:t>
            </w:r>
            <w:r>
              <w:rPr>
                <w:noProof/>
                <w:webHidden/>
              </w:rPr>
              <w:fldChar w:fldCharType="end"/>
            </w:r>
          </w:hyperlink>
        </w:p>
        <w:p w14:paraId="4136E95C" w14:textId="7B393ED6" w:rsidR="00394B4C" w:rsidRDefault="00394B4C">
          <w:pPr>
            <w:pStyle w:val="TOC2"/>
            <w:rPr>
              <w:noProof/>
              <w:lang w:eastAsia="en-GB"/>
            </w:rPr>
          </w:pPr>
          <w:hyperlink w:anchor="_Toc90297832" w:history="1">
            <w:r w:rsidRPr="00D20ADD">
              <w:rPr>
                <w:rStyle w:val="Hyperlink"/>
                <w:noProof/>
              </w:rPr>
              <w:t>C-11</w:t>
            </w:r>
            <w:r>
              <w:rPr>
                <w:noProof/>
                <w:lang w:eastAsia="en-GB"/>
              </w:rPr>
              <w:tab/>
            </w:r>
            <w:r w:rsidRPr="00D20ADD">
              <w:rPr>
                <w:rStyle w:val="Hyperlink"/>
                <w:noProof/>
              </w:rPr>
              <w:t>Termination by Coordination Centres</w:t>
            </w:r>
            <w:r>
              <w:rPr>
                <w:noProof/>
                <w:webHidden/>
              </w:rPr>
              <w:tab/>
            </w:r>
            <w:r>
              <w:rPr>
                <w:noProof/>
                <w:webHidden/>
              </w:rPr>
              <w:fldChar w:fldCharType="begin"/>
            </w:r>
            <w:r>
              <w:rPr>
                <w:noProof/>
                <w:webHidden/>
              </w:rPr>
              <w:instrText xml:space="preserve"> PAGEREF _Toc90297832 \h </w:instrText>
            </w:r>
            <w:r>
              <w:rPr>
                <w:noProof/>
                <w:webHidden/>
              </w:rPr>
            </w:r>
            <w:r>
              <w:rPr>
                <w:noProof/>
                <w:webHidden/>
              </w:rPr>
              <w:fldChar w:fldCharType="separate"/>
            </w:r>
            <w:r>
              <w:rPr>
                <w:noProof/>
                <w:webHidden/>
              </w:rPr>
              <w:t>32</w:t>
            </w:r>
            <w:r>
              <w:rPr>
                <w:noProof/>
                <w:webHidden/>
              </w:rPr>
              <w:fldChar w:fldCharType="end"/>
            </w:r>
          </w:hyperlink>
        </w:p>
        <w:p w14:paraId="72A35632" w14:textId="10BE4F27" w:rsidR="00394B4C" w:rsidRDefault="00394B4C">
          <w:pPr>
            <w:pStyle w:val="TOC2"/>
            <w:rPr>
              <w:noProof/>
              <w:lang w:eastAsia="en-GB"/>
            </w:rPr>
          </w:pPr>
          <w:hyperlink w:anchor="_Toc90297833" w:history="1">
            <w:r w:rsidRPr="00D20ADD">
              <w:rPr>
                <w:rStyle w:val="Hyperlink"/>
                <w:noProof/>
              </w:rPr>
              <w:t>C-12</w:t>
            </w:r>
            <w:r>
              <w:rPr>
                <w:noProof/>
                <w:lang w:eastAsia="en-GB"/>
              </w:rPr>
              <w:tab/>
            </w:r>
            <w:r w:rsidRPr="00D20ADD">
              <w:rPr>
                <w:rStyle w:val="Hyperlink"/>
                <w:noProof/>
              </w:rPr>
              <w:t>Supplements</w:t>
            </w:r>
            <w:r>
              <w:rPr>
                <w:noProof/>
                <w:webHidden/>
              </w:rPr>
              <w:tab/>
            </w:r>
            <w:r>
              <w:rPr>
                <w:noProof/>
                <w:webHidden/>
              </w:rPr>
              <w:fldChar w:fldCharType="begin"/>
            </w:r>
            <w:r>
              <w:rPr>
                <w:noProof/>
                <w:webHidden/>
              </w:rPr>
              <w:instrText xml:space="preserve"> PAGEREF _Toc90297833 \h </w:instrText>
            </w:r>
            <w:r>
              <w:rPr>
                <w:noProof/>
                <w:webHidden/>
              </w:rPr>
            </w:r>
            <w:r>
              <w:rPr>
                <w:noProof/>
                <w:webHidden/>
              </w:rPr>
              <w:fldChar w:fldCharType="separate"/>
            </w:r>
            <w:r>
              <w:rPr>
                <w:noProof/>
                <w:webHidden/>
              </w:rPr>
              <w:t>33</w:t>
            </w:r>
            <w:r>
              <w:rPr>
                <w:noProof/>
                <w:webHidden/>
              </w:rPr>
              <w:fldChar w:fldCharType="end"/>
            </w:r>
          </w:hyperlink>
        </w:p>
        <w:p w14:paraId="7F2EABF4" w14:textId="60B15C38" w:rsidR="00394B4C" w:rsidRDefault="00394B4C">
          <w:pPr>
            <w:pStyle w:val="TOC3"/>
            <w:tabs>
              <w:tab w:val="left" w:pos="1320"/>
              <w:tab w:val="right" w:leader="dot" w:pos="9062"/>
            </w:tabs>
            <w:rPr>
              <w:noProof/>
              <w:lang w:eastAsia="en-GB"/>
            </w:rPr>
          </w:pPr>
          <w:hyperlink w:anchor="_Toc90297834" w:history="1">
            <w:r w:rsidRPr="00D20ADD">
              <w:rPr>
                <w:rStyle w:val="Hyperlink"/>
                <w:noProof/>
              </w:rPr>
              <w:t>C-12-1</w:t>
            </w:r>
            <w:r>
              <w:rPr>
                <w:noProof/>
                <w:lang w:eastAsia="en-GB"/>
              </w:rPr>
              <w:tab/>
            </w:r>
            <w:r w:rsidRPr="00D20ADD">
              <w:rPr>
                <w:rStyle w:val="Hyperlink"/>
                <w:noProof/>
              </w:rPr>
              <w:t>Equation terms</w:t>
            </w:r>
            <w:r>
              <w:rPr>
                <w:noProof/>
                <w:webHidden/>
              </w:rPr>
              <w:tab/>
            </w:r>
            <w:r>
              <w:rPr>
                <w:noProof/>
                <w:webHidden/>
              </w:rPr>
              <w:fldChar w:fldCharType="begin"/>
            </w:r>
            <w:r>
              <w:rPr>
                <w:noProof/>
                <w:webHidden/>
              </w:rPr>
              <w:instrText xml:space="preserve"> PAGEREF _Toc90297834 \h </w:instrText>
            </w:r>
            <w:r>
              <w:rPr>
                <w:noProof/>
                <w:webHidden/>
              </w:rPr>
            </w:r>
            <w:r>
              <w:rPr>
                <w:noProof/>
                <w:webHidden/>
              </w:rPr>
              <w:fldChar w:fldCharType="separate"/>
            </w:r>
            <w:r>
              <w:rPr>
                <w:noProof/>
                <w:webHidden/>
              </w:rPr>
              <w:t>33</w:t>
            </w:r>
            <w:r>
              <w:rPr>
                <w:noProof/>
                <w:webHidden/>
              </w:rPr>
              <w:fldChar w:fldCharType="end"/>
            </w:r>
          </w:hyperlink>
        </w:p>
        <w:p w14:paraId="3C87B025" w14:textId="76D754EF" w:rsidR="00394B4C" w:rsidRDefault="00394B4C">
          <w:pPr>
            <w:pStyle w:val="TOC3"/>
            <w:tabs>
              <w:tab w:val="left" w:pos="1320"/>
              <w:tab w:val="right" w:leader="dot" w:pos="9062"/>
            </w:tabs>
            <w:rPr>
              <w:noProof/>
              <w:lang w:eastAsia="en-GB"/>
            </w:rPr>
          </w:pPr>
          <w:hyperlink w:anchor="_Toc90297835" w:history="1">
            <w:r w:rsidRPr="00D20ADD">
              <w:rPr>
                <w:rStyle w:val="Hyperlink"/>
                <w:noProof/>
              </w:rPr>
              <w:t>C-12-2</w:t>
            </w:r>
            <w:r>
              <w:rPr>
                <w:noProof/>
                <w:lang w:eastAsia="en-GB"/>
              </w:rPr>
              <w:tab/>
            </w:r>
            <w:r w:rsidRPr="00D20ADD">
              <w:rPr>
                <w:rStyle w:val="Hyperlink"/>
                <w:noProof/>
              </w:rPr>
              <w:t>Timetables for daily accounting and settlement process</w:t>
            </w:r>
            <w:r>
              <w:rPr>
                <w:noProof/>
                <w:webHidden/>
              </w:rPr>
              <w:tab/>
            </w:r>
            <w:r>
              <w:rPr>
                <w:noProof/>
                <w:webHidden/>
              </w:rPr>
              <w:fldChar w:fldCharType="begin"/>
            </w:r>
            <w:r>
              <w:rPr>
                <w:noProof/>
                <w:webHidden/>
              </w:rPr>
              <w:instrText xml:space="preserve"> PAGEREF _Toc90297835 \h </w:instrText>
            </w:r>
            <w:r>
              <w:rPr>
                <w:noProof/>
                <w:webHidden/>
              </w:rPr>
            </w:r>
            <w:r>
              <w:rPr>
                <w:noProof/>
                <w:webHidden/>
              </w:rPr>
              <w:fldChar w:fldCharType="separate"/>
            </w:r>
            <w:r>
              <w:rPr>
                <w:noProof/>
                <w:webHidden/>
              </w:rPr>
              <w:t>33</w:t>
            </w:r>
            <w:r>
              <w:rPr>
                <w:noProof/>
                <w:webHidden/>
              </w:rPr>
              <w:fldChar w:fldCharType="end"/>
            </w:r>
          </w:hyperlink>
        </w:p>
        <w:p w14:paraId="3C7D42B3" w14:textId="76F8FE44" w:rsidR="00394B4C" w:rsidRDefault="00394B4C">
          <w:pPr>
            <w:pStyle w:val="TOC3"/>
            <w:tabs>
              <w:tab w:val="left" w:pos="1320"/>
              <w:tab w:val="right" w:leader="dot" w:pos="9062"/>
            </w:tabs>
            <w:rPr>
              <w:noProof/>
              <w:lang w:eastAsia="en-GB"/>
            </w:rPr>
          </w:pPr>
          <w:hyperlink w:anchor="_Toc90297836" w:history="1">
            <w:r w:rsidRPr="00D20ADD">
              <w:rPr>
                <w:rStyle w:val="Hyperlink"/>
                <w:noProof/>
              </w:rPr>
              <w:t>C-12-3</w:t>
            </w:r>
            <w:r>
              <w:rPr>
                <w:noProof/>
                <w:lang w:eastAsia="en-GB"/>
              </w:rPr>
              <w:tab/>
            </w:r>
            <w:r w:rsidRPr="00D20ADD">
              <w:rPr>
                <w:rStyle w:val="Hyperlink"/>
                <w:noProof/>
              </w:rPr>
              <w:t>Registration form for Accounting Process including Tie-Lines</w:t>
            </w:r>
            <w:r>
              <w:rPr>
                <w:noProof/>
                <w:webHidden/>
              </w:rPr>
              <w:tab/>
            </w:r>
            <w:r>
              <w:rPr>
                <w:noProof/>
                <w:webHidden/>
              </w:rPr>
              <w:fldChar w:fldCharType="begin"/>
            </w:r>
            <w:r>
              <w:rPr>
                <w:noProof/>
                <w:webHidden/>
              </w:rPr>
              <w:instrText xml:space="preserve"> PAGEREF _Toc90297836 \h </w:instrText>
            </w:r>
            <w:r>
              <w:rPr>
                <w:noProof/>
                <w:webHidden/>
              </w:rPr>
            </w:r>
            <w:r>
              <w:rPr>
                <w:noProof/>
                <w:webHidden/>
              </w:rPr>
              <w:fldChar w:fldCharType="separate"/>
            </w:r>
            <w:r>
              <w:rPr>
                <w:noProof/>
                <w:webHidden/>
              </w:rPr>
              <w:t>35</w:t>
            </w:r>
            <w:r>
              <w:rPr>
                <w:noProof/>
                <w:webHidden/>
              </w:rPr>
              <w:fldChar w:fldCharType="end"/>
            </w:r>
          </w:hyperlink>
        </w:p>
        <w:p w14:paraId="2C749CE7" w14:textId="186B4FDA" w:rsidR="00394B4C" w:rsidRDefault="00394B4C">
          <w:pPr>
            <w:pStyle w:val="TOC3"/>
            <w:tabs>
              <w:tab w:val="left" w:pos="1320"/>
              <w:tab w:val="right" w:leader="dot" w:pos="9062"/>
            </w:tabs>
            <w:rPr>
              <w:noProof/>
              <w:lang w:eastAsia="en-GB"/>
            </w:rPr>
          </w:pPr>
          <w:hyperlink w:anchor="_Toc90297837" w:history="1">
            <w:r w:rsidRPr="00D20ADD">
              <w:rPr>
                <w:rStyle w:val="Hyperlink"/>
                <w:noProof/>
              </w:rPr>
              <w:t>C-12-4</w:t>
            </w:r>
            <w:r>
              <w:rPr>
                <w:noProof/>
                <w:lang w:eastAsia="en-GB"/>
              </w:rPr>
              <w:tab/>
            </w:r>
            <w:r w:rsidRPr="00D20ADD">
              <w:rPr>
                <w:rStyle w:val="Hyperlink"/>
                <w:noProof/>
              </w:rPr>
              <w:t>List of LFC Blocks performing Accounting and Settlement Process on LFC Block level</w:t>
            </w:r>
            <w:r>
              <w:rPr>
                <w:noProof/>
                <w:webHidden/>
              </w:rPr>
              <w:tab/>
            </w:r>
            <w:r>
              <w:rPr>
                <w:noProof/>
                <w:webHidden/>
              </w:rPr>
              <w:fldChar w:fldCharType="begin"/>
            </w:r>
            <w:r>
              <w:rPr>
                <w:noProof/>
                <w:webHidden/>
              </w:rPr>
              <w:instrText xml:space="preserve"> PAGEREF _Toc90297837 \h </w:instrText>
            </w:r>
            <w:r>
              <w:rPr>
                <w:noProof/>
                <w:webHidden/>
              </w:rPr>
            </w:r>
            <w:r>
              <w:rPr>
                <w:noProof/>
                <w:webHidden/>
              </w:rPr>
              <w:fldChar w:fldCharType="separate"/>
            </w:r>
            <w:r>
              <w:rPr>
                <w:noProof/>
                <w:webHidden/>
              </w:rPr>
              <w:t>35</w:t>
            </w:r>
            <w:r>
              <w:rPr>
                <w:noProof/>
                <w:webHidden/>
              </w:rPr>
              <w:fldChar w:fldCharType="end"/>
            </w:r>
          </w:hyperlink>
        </w:p>
        <w:p w14:paraId="10B41586" w14:textId="325A49DB" w:rsidR="00394B4C" w:rsidRDefault="00394B4C">
          <w:pPr>
            <w:pStyle w:val="TOC2"/>
            <w:rPr>
              <w:noProof/>
              <w:lang w:eastAsia="en-GB"/>
            </w:rPr>
          </w:pPr>
          <w:hyperlink w:anchor="_Toc90297838" w:history="1">
            <w:r w:rsidRPr="00D20ADD">
              <w:rPr>
                <w:rStyle w:val="Hyperlink"/>
                <w:noProof/>
              </w:rPr>
              <w:t>C-13</w:t>
            </w:r>
            <w:r>
              <w:rPr>
                <w:noProof/>
                <w:lang w:eastAsia="en-GB"/>
              </w:rPr>
              <w:tab/>
            </w:r>
            <w:r w:rsidRPr="00D20ADD">
              <w:rPr>
                <w:rStyle w:val="Hyperlink"/>
                <w:noProof/>
              </w:rPr>
              <w:t>The specific regulations with regard to a withholding tax due in Poland</w:t>
            </w:r>
            <w:r>
              <w:rPr>
                <w:noProof/>
                <w:webHidden/>
              </w:rPr>
              <w:tab/>
            </w:r>
            <w:r>
              <w:rPr>
                <w:noProof/>
                <w:webHidden/>
              </w:rPr>
              <w:fldChar w:fldCharType="begin"/>
            </w:r>
            <w:r>
              <w:rPr>
                <w:noProof/>
                <w:webHidden/>
              </w:rPr>
              <w:instrText xml:space="preserve"> PAGEREF _Toc90297838 \h </w:instrText>
            </w:r>
            <w:r>
              <w:rPr>
                <w:noProof/>
                <w:webHidden/>
              </w:rPr>
            </w:r>
            <w:r>
              <w:rPr>
                <w:noProof/>
                <w:webHidden/>
              </w:rPr>
              <w:fldChar w:fldCharType="separate"/>
            </w:r>
            <w:r>
              <w:rPr>
                <w:noProof/>
                <w:webHidden/>
              </w:rPr>
              <w:t>36</w:t>
            </w:r>
            <w:r>
              <w:rPr>
                <w:noProof/>
                <w:webHidden/>
              </w:rPr>
              <w:fldChar w:fldCharType="end"/>
            </w:r>
          </w:hyperlink>
        </w:p>
        <w:p w14:paraId="7121C3FC" w14:textId="67AA73B8" w:rsidR="00266397" w:rsidRPr="00C87891" w:rsidRDefault="00F45947">
          <w:r w:rsidRPr="00C87891">
            <w:rPr>
              <w:b/>
              <w:bCs/>
            </w:rPr>
            <w:fldChar w:fldCharType="end"/>
          </w:r>
        </w:p>
      </w:sdtContent>
    </w:sdt>
    <w:p w14:paraId="37689FFF" w14:textId="2315C87F" w:rsidR="00266397" w:rsidRDefault="00266397" w:rsidP="00E46554">
      <w:pPr>
        <w:pStyle w:val="Heading1"/>
        <w:numPr>
          <w:ilvl w:val="0"/>
          <w:numId w:val="0"/>
        </w:numPr>
        <w:tabs>
          <w:tab w:val="center" w:pos="4751"/>
        </w:tabs>
        <w:ind w:left="431"/>
      </w:pPr>
      <w:bookmarkStart w:id="0" w:name="_Toc90297775"/>
      <w:r w:rsidRPr="00C87891">
        <w:t>Introduction</w:t>
      </w:r>
      <w:bookmarkEnd w:id="0"/>
      <w:r w:rsidR="00C26E27">
        <w:tab/>
      </w:r>
    </w:p>
    <w:p w14:paraId="05829970" w14:textId="7DE67AE2" w:rsidR="005C117F" w:rsidRPr="00C87891" w:rsidRDefault="00E010E7" w:rsidP="00F6180B">
      <w:r w:rsidRPr="00C87891">
        <w:t xml:space="preserve">This document is </w:t>
      </w:r>
      <w:r w:rsidR="00C73E32" w:rsidRPr="00C87891">
        <w:t xml:space="preserve">part of </w:t>
      </w:r>
      <w:r w:rsidR="00302EAD" w:rsidRPr="00C87891">
        <w:t xml:space="preserve">the Synchronous Area </w:t>
      </w:r>
      <w:r w:rsidR="00A06ED4" w:rsidRPr="00C87891">
        <w:t>Framework</w:t>
      </w:r>
      <w:r w:rsidR="00302EAD" w:rsidRPr="00C87891">
        <w:t xml:space="preserve"> Agreement for the Synchronous Area</w:t>
      </w:r>
      <w:r w:rsidR="00C15FAF" w:rsidRPr="00C87891">
        <w:t xml:space="preserve"> CE </w:t>
      </w:r>
      <w:r w:rsidR="00A06ED4" w:rsidRPr="00C87891">
        <w:t>(SA CE)</w:t>
      </w:r>
      <w:r w:rsidR="006601A0" w:rsidRPr="00C87891">
        <w:t>.</w:t>
      </w:r>
    </w:p>
    <w:p w14:paraId="7E45198D" w14:textId="77777777" w:rsidR="00E97D5C" w:rsidRPr="00C87891" w:rsidRDefault="00E97D5C" w:rsidP="00F6180B">
      <w:pPr>
        <w:rPr>
          <w:rFonts w:ascii="Arial" w:hAnsi="Arial" w:cs="Arial"/>
        </w:rPr>
      </w:pPr>
      <w:r w:rsidRPr="00C87891">
        <w:rPr>
          <w:rFonts w:ascii="Arial" w:hAnsi="Arial" w:cs="Arial"/>
        </w:rPr>
        <w:t>All times mentioned in this document are related to CET respectively CEST</w:t>
      </w:r>
      <w:r w:rsidR="004A77A7">
        <w:rPr>
          <w:rFonts w:ascii="Arial" w:hAnsi="Arial" w:cs="Arial"/>
        </w:rPr>
        <w:t xml:space="preserve">. </w:t>
      </w:r>
      <w:r w:rsidR="00D06385" w:rsidRPr="00C87891">
        <w:rPr>
          <w:rFonts w:ascii="Arial" w:hAnsi="Arial" w:cs="Arial"/>
        </w:rPr>
        <w:t>Additional details</w:t>
      </w:r>
      <w:r w:rsidRPr="00C87891">
        <w:rPr>
          <w:rFonts w:ascii="Arial" w:hAnsi="Arial" w:cs="Arial"/>
        </w:rPr>
        <w:t xml:space="preserve"> of the </w:t>
      </w:r>
      <w:r w:rsidR="00D67CEF" w:rsidRPr="00C87891">
        <w:rPr>
          <w:rFonts w:ascii="Arial" w:hAnsi="Arial" w:cs="Arial"/>
        </w:rPr>
        <w:t>A</w:t>
      </w:r>
      <w:r w:rsidRPr="00C87891">
        <w:rPr>
          <w:rFonts w:ascii="Arial" w:hAnsi="Arial" w:cs="Arial"/>
        </w:rPr>
        <w:t xml:space="preserve">ccounting and </w:t>
      </w:r>
      <w:r w:rsidR="00D67CEF" w:rsidRPr="00C87891">
        <w:rPr>
          <w:rFonts w:ascii="Arial" w:hAnsi="Arial" w:cs="Arial"/>
        </w:rPr>
        <w:t>S</w:t>
      </w:r>
      <w:r w:rsidRPr="00C87891">
        <w:rPr>
          <w:rFonts w:ascii="Arial" w:hAnsi="Arial" w:cs="Arial"/>
        </w:rPr>
        <w:t xml:space="preserve">ettlement </w:t>
      </w:r>
      <w:r w:rsidR="00D67CEF" w:rsidRPr="00C87891">
        <w:rPr>
          <w:rFonts w:ascii="Arial" w:hAnsi="Arial" w:cs="Arial"/>
        </w:rPr>
        <w:t>P</w:t>
      </w:r>
      <w:r w:rsidRPr="00C87891">
        <w:rPr>
          <w:rFonts w:ascii="Arial" w:hAnsi="Arial" w:cs="Arial"/>
        </w:rPr>
        <w:t xml:space="preserve">rocess </w:t>
      </w:r>
      <w:r w:rsidR="00D06385" w:rsidRPr="00C87891">
        <w:rPr>
          <w:rFonts w:ascii="Arial" w:hAnsi="Arial" w:cs="Arial"/>
        </w:rPr>
        <w:t xml:space="preserve">are described </w:t>
      </w:r>
      <w:r w:rsidRPr="00C87891">
        <w:rPr>
          <w:rFonts w:ascii="Arial" w:hAnsi="Arial" w:cs="Arial"/>
        </w:rPr>
        <w:t>in the following documents:</w:t>
      </w:r>
    </w:p>
    <w:p w14:paraId="5FCC39C4" w14:textId="77777777" w:rsidR="00632FF6" w:rsidRDefault="00632FF6" w:rsidP="00F6180B">
      <w:pPr>
        <w:widowControl w:val="0"/>
        <w:tabs>
          <w:tab w:val="left" w:pos="-1152"/>
          <w:tab w:val="left" w:pos="-720"/>
          <w:tab w:val="left" w:pos="0"/>
          <w:tab w:val="left" w:pos="360"/>
        </w:tabs>
        <w:adjustRightInd w:val="0"/>
        <w:spacing w:after="60" w:line="360" w:lineRule="atLeast"/>
        <w:ind w:left="360"/>
        <w:textAlignment w:val="baseline"/>
        <w:rPr>
          <w:rFonts w:ascii="Arial" w:hAnsi="Arial" w:cs="Arial"/>
        </w:rPr>
      </w:pPr>
      <w:r>
        <w:rPr>
          <w:rFonts w:ascii="Arial" w:hAnsi="Arial" w:cs="Arial"/>
        </w:rPr>
        <w:t xml:space="preserve">ENTSO-E </w:t>
      </w:r>
      <w:r w:rsidRPr="00632FF6">
        <w:rPr>
          <w:rFonts w:ascii="Arial" w:hAnsi="Arial" w:cs="Arial"/>
        </w:rPr>
        <w:t>ACCOUNTING AND FINANCIAL SETTLEMENT OF KF, ACE AND RAMPING PERIOD (FSKAR) IMPLEMENTATION GUIDE</w:t>
      </w:r>
    </w:p>
    <w:p w14:paraId="51F637DF" w14:textId="77777777" w:rsidR="00A33B9B" w:rsidRPr="00C87891" w:rsidRDefault="00A33B9B" w:rsidP="00F6180B">
      <w:pPr>
        <w:widowControl w:val="0"/>
        <w:tabs>
          <w:tab w:val="left" w:pos="-1152"/>
          <w:tab w:val="left" w:pos="-720"/>
          <w:tab w:val="left" w:pos="0"/>
          <w:tab w:val="left" w:pos="360"/>
        </w:tabs>
        <w:adjustRightInd w:val="0"/>
        <w:spacing w:after="60" w:line="360" w:lineRule="atLeast"/>
        <w:ind w:left="360"/>
        <w:textAlignment w:val="baseline"/>
      </w:pPr>
    </w:p>
    <w:p w14:paraId="6DCA4518" w14:textId="77777777" w:rsidR="00E97D5C" w:rsidRPr="00C87891" w:rsidRDefault="00F82CA9" w:rsidP="00F6180B">
      <w:r>
        <w:t>c</w:t>
      </w:r>
      <w:r w:rsidR="00CB66F7" w:rsidRPr="00C87891">
        <w:t xml:space="preserve">urrently </w:t>
      </w:r>
      <w:r w:rsidR="00E97D5C" w:rsidRPr="00C87891">
        <w:t>published on https://www.entsoe.eu/publications/electronic-data-interchange-edi-library/.</w:t>
      </w:r>
    </w:p>
    <w:p w14:paraId="03C996D1" w14:textId="77777777" w:rsidR="00453CD2" w:rsidRPr="00C87891" w:rsidRDefault="00EF0A57" w:rsidP="008D6FBD">
      <w:pPr>
        <w:pStyle w:val="Heading1"/>
      </w:pPr>
      <w:bookmarkStart w:id="1" w:name="_Toc534355984"/>
      <w:bookmarkStart w:id="2" w:name="_Toc90297776"/>
      <w:bookmarkEnd w:id="1"/>
      <w:r w:rsidRPr="00C87891">
        <w:t>Methodologies, conditions and v</w:t>
      </w:r>
      <w:r w:rsidR="00453CD2" w:rsidRPr="00C87891">
        <w:t>alues subject to all regulatory authorities approval</w:t>
      </w:r>
      <w:bookmarkEnd w:id="2"/>
    </w:p>
    <w:p w14:paraId="67AB9562" w14:textId="080A4E98" w:rsidR="006B49F2" w:rsidRDefault="00C0351E" w:rsidP="00352AD3">
      <w:bookmarkStart w:id="3" w:name="_Hlk534356700"/>
      <w:r w:rsidRPr="00211B61">
        <w:t>The following section includes all methodologies, conditions and values jointly developed by all TSOs from the Synchronous Area CE and which are subject to approva</w:t>
      </w:r>
      <w:r w:rsidR="00B21E31">
        <w:t>l by all regulatory authorities</w:t>
      </w:r>
      <w:r w:rsidR="001718C8" w:rsidRPr="001718C8">
        <w:t>.</w:t>
      </w:r>
    </w:p>
    <w:p w14:paraId="3C8EB90D" w14:textId="77777777" w:rsidR="00DA35E0" w:rsidRDefault="00DA35E0" w:rsidP="0080784B">
      <w:pPr>
        <w:pStyle w:val="Heading2"/>
        <w:rPr>
          <w:lang w:eastAsia="de-DE"/>
        </w:rPr>
      </w:pPr>
      <w:bookmarkStart w:id="4" w:name="_Toc90297777"/>
      <w:r>
        <w:rPr>
          <w:lang w:eastAsia="de-DE"/>
        </w:rPr>
        <w:t>Common settlement rules applicable to intended exchanges of energy according to Article 50(3) EBGL (mandatory &amp; NRA approval)</w:t>
      </w:r>
      <w:bookmarkEnd w:id="4"/>
    </w:p>
    <w:p w14:paraId="4A5E0981" w14:textId="60BD8518" w:rsidR="00DA35E0" w:rsidRPr="00E46554" w:rsidRDefault="00DA35E0" w:rsidP="00E46554">
      <w:pPr>
        <w:rPr>
          <w:lang w:val="en-US"/>
        </w:rPr>
      </w:pPr>
      <w:r w:rsidRPr="00E46554">
        <w:rPr>
          <w:lang w:val="en-US"/>
        </w:rPr>
        <w:t xml:space="preserve">The SAFA Parties acknowledge that the proposal “All continental European TSOs’ proposal for common settlement rules for intended exchanges of energy as a result of the frequency containment process and ramping period in accordance with the Article 50(3) of Commission Regulation (EU) 2017/2195 of 23 November 2017 establishing a guideline on electricity balancing” </w:t>
      </w:r>
      <w:r w:rsidR="0080784B" w:rsidRPr="00E46554">
        <w:rPr>
          <w:lang w:val="en-US"/>
        </w:rPr>
        <w:t xml:space="preserve">that has been approved according to Article 4 EBGL on 09 March 2020 and </w:t>
      </w:r>
      <w:r w:rsidR="00E43FE3" w:rsidRPr="004301C4">
        <w:rPr>
          <w:lang w:val="en-US"/>
        </w:rPr>
        <w:t>approved by</w:t>
      </w:r>
      <w:r w:rsidR="00E43FE3" w:rsidRPr="00E46554">
        <w:rPr>
          <w:lang w:val="en-US"/>
        </w:rPr>
        <w:t xml:space="preserve"> the competent regulatory authorities in accordance with Article 5(3) EBGL </w:t>
      </w:r>
      <w:r w:rsidR="00E43FE3" w:rsidRPr="004301C4">
        <w:rPr>
          <w:lang w:val="en-US"/>
        </w:rPr>
        <w:t xml:space="preserve">as of </w:t>
      </w:r>
      <w:r w:rsidR="004301C4" w:rsidRPr="004301C4">
        <w:rPr>
          <w:lang w:val="en-US"/>
        </w:rPr>
        <w:t xml:space="preserve">16 June 2020 </w:t>
      </w:r>
      <w:r w:rsidR="0080784B" w:rsidRPr="00B51B29">
        <w:rPr>
          <w:lang w:val="en-US"/>
        </w:rPr>
        <w:t xml:space="preserve"> </w:t>
      </w:r>
      <w:r w:rsidR="0080784B" w:rsidRPr="00E46554">
        <w:rPr>
          <w:lang w:val="en-US"/>
        </w:rPr>
        <w:t>is accepted by all Parties</w:t>
      </w:r>
      <w:r w:rsidR="0080784B" w:rsidRPr="00B51B29">
        <w:rPr>
          <w:lang w:val="en-US"/>
        </w:rPr>
        <w:t>.</w:t>
      </w:r>
      <w:r w:rsidR="0080784B" w:rsidRPr="00E46554">
        <w:rPr>
          <w:lang w:val="en-US"/>
        </w:rPr>
        <w:t xml:space="preserve"> The Parties agree to apply this methodology as it is </w:t>
      </w:r>
      <w:r w:rsidR="004301C4">
        <w:rPr>
          <w:lang w:val="en-US"/>
        </w:rPr>
        <w:t>agreed</w:t>
      </w:r>
      <w:r w:rsidR="004301C4" w:rsidRPr="00E46554">
        <w:rPr>
          <w:lang w:val="en-US"/>
        </w:rPr>
        <w:t xml:space="preserve"> </w:t>
      </w:r>
      <w:r w:rsidR="0080784B" w:rsidRPr="00E46554">
        <w:rPr>
          <w:lang w:val="en-US"/>
        </w:rPr>
        <w:t xml:space="preserve">by the TSOs </w:t>
      </w:r>
      <w:r w:rsidR="004301C4">
        <w:rPr>
          <w:lang w:val="en-US"/>
        </w:rPr>
        <w:t>and</w:t>
      </w:r>
      <w:r w:rsidR="0080784B" w:rsidRPr="00E46554">
        <w:rPr>
          <w:lang w:val="en-US"/>
        </w:rPr>
        <w:t xml:space="preserve"> approved by the NRAs</w:t>
      </w:r>
      <w:r w:rsidRPr="00E46554">
        <w:rPr>
          <w:lang w:val="en-US"/>
        </w:rPr>
        <w:t>.</w:t>
      </w:r>
    </w:p>
    <w:p w14:paraId="149F7547" w14:textId="77777777" w:rsidR="00DA35E0" w:rsidRPr="0080784B" w:rsidRDefault="00DA35E0" w:rsidP="000755B5">
      <w:pPr>
        <w:rPr>
          <w:lang w:eastAsia="de-DE"/>
        </w:rPr>
      </w:pPr>
      <w:r w:rsidRPr="00E46554">
        <w:rPr>
          <w:lang w:val="en-US"/>
        </w:rPr>
        <w:t>Amendment Proposals that will be developed on the basis of a Request for Amendments by the relevant regulatory authorities according to Article 6 of the EB GL will be processed by applying the regular amendment rules according to Article 14 of the SAFA.</w:t>
      </w:r>
    </w:p>
    <w:p w14:paraId="4462EF59" w14:textId="77777777" w:rsidR="00DA35E0" w:rsidRDefault="00DA35E0" w:rsidP="0080784B">
      <w:pPr>
        <w:pStyle w:val="Heading2"/>
        <w:rPr>
          <w:lang w:eastAsia="de-DE"/>
        </w:rPr>
      </w:pPr>
      <w:bookmarkStart w:id="5" w:name="_Toc90297778"/>
      <w:r>
        <w:rPr>
          <w:lang w:eastAsia="de-DE"/>
        </w:rPr>
        <w:t>Common settlement rules applicable to all unintended exchanges of energy according to Article 51(1) EBGL (mandatory &amp; NRA approval)</w:t>
      </w:r>
      <w:bookmarkEnd w:id="5"/>
    </w:p>
    <w:p w14:paraId="2284F8E8" w14:textId="30136404" w:rsidR="00DA35E0" w:rsidRPr="00E46554" w:rsidRDefault="00DA35E0" w:rsidP="00E46554">
      <w:r w:rsidRPr="00E46554">
        <w:t xml:space="preserve">The SAFA-Parties acknowledge that the document “All continental European TSOs’ proposal for common settlement rules for all unintended exchanges of energy in accordance with Article 51(1) of Commission Regulation (EU) 2017/2195 of 23 November 2017 establishing a guideline on electricity balancing” </w:t>
      </w:r>
      <w:r w:rsidR="0080784B" w:rsidRPr="00E46554">
        <w:rPr>
          <w:lang w:val="en-US"/>
        </w:rPr>
        <w:t xml:space="preserve">that has been approved according to Article 4 EBGL on 09 March 2020 and </w:t>
      </w:r>
      <w:r w:rsidR="004301C4" w:rsidRPr="004301C4">
        <w:rPr>
          <w:lang w:val="en-US"/>
        </w:rPr>
        <w:t>approved by</w:t>
      </w:r>
      <w:r w:rsidR="004301C4" w:rsidRPr="00E46554">
        <w:rPr>
          <w:lang w:val="en-US"/>
        </w:rPr>
        <w:t xml:space="preserve"> the competent regulatory authorities in accordance with Article 5(3) EBGL </w:t>
      </w:r>
      <w:r w:rsidR="004301C4" w:rsidRPr="004301C4">
        <w:rPr>
          <w:lang w:val="en-US"/>
        </w:rPr>
        <w:t xml:space="preserve">as of 16 June 2020 </w:t>
      </w:r>
      <w:r w:rsidR="0080784B" w:rsidRPr="00B51B29">
        <w:rPr>
          <w:lang w:val="en-US"/>
        </w:rPr>
        <w:t xml:space="preserve"> </w:t>
      </w:r>
      <w:r w:rsidR="0080784B" w:rsidRPr="00E46554">
        <w:rPr>
          <w:lang w:val="en-US"/>
        </w:rPr>
        <w:t>is accepted by all Parties</w:t>
      </w:r>
      <w:r w:rsidR="0080784B" w:rsidRPr="00B51B29">
        <w:rPr>
          <w:lang w:val="en-US"/>
        </w:rPr>
        <w:t>.</w:t>
      </w:r>
      <w:r w:rsidR="0080784B" w:rsidRPr="00E46554">
        <w:rPr>
          <w:lang w:val="en-US"/>
        </w:rPr>
        <w:t xml:space="preserve"> The Parties agree to apply this methodology as it is </w:t>
      </w:r>
      <w:r w:rsidR="004301C4">
        <w:rPr>
          <w:lang w:val="en-US"/>
        </w:rPr>
        <w:t>agreed</w:t>
      </w:r>
      <w:r w:rsidR="004301C4" w:rsidRPr="00E46554">
        <w:rPr>
          <w:lang w:val="en-US"/>
        </w:rPr>
        <w:t xml:space="preserve"> </w:t>
      </w:r>
      <w:r w:rsidR="0080784B" w:rsidRPr="00E46554">
        <w:rPr>
          <w:lang w:val="en-US"/>
        </w:rPr>
        <w:t xml:space="preserve">by the TSOs </w:t>
      </w:r>
      <w:r w:rsidR="004301C4">
        <w:rPr>
          <w:lang w:val="en-US"/>
        </w:rPr>
        <w:t>and</w:t>
      </w:r>
      <w:r w:rsidR="0080784B" w:rsidRPr="00E46554">
        <w:rPr>
          <w:lang w:val="en-US"/>
        </w:rPr>
        <w:t xml:space="preserve"> approved by the NRAs</w:t>
      </w:r>
      <w:r w:rsidRPr="00E46554">
        <w:rPr>
          <w:lang w:val="en-US"/>
        </w:rPr>
        <w:t>.</w:t>
      </w:r>
    </w:p>
    <w:p w14:paraId="624DB25F" w14:textId="77777777" w:rsidR="00DA35E0" w:rsidRPr="00C87891" w:rsidRDefault="00DA35E0" w:rsidP="000755B5">
      <w:r w:rsidRPr="00E46554">
        <w:t>Amendment Proposals that will be developed on the basis of a Request for Amendments by the relevant regulatory authorities according to Article 6 of the EB GL will be processed by applying the regular amendment rules according to Article 14 of the SAFA.</w:t>
      </w:r>
    </w:p>
    <w:p w14:paraId="59C0DB66" w14:textId="77777777" w:rsidR="00453CD2" w:rsidRPr="00C87891" w:rsidRDefault="00453CD2" w:rsidP="004D2B81">
      <w:pPr>
        <w:pStyle w:val="Heading1"/>
      </w:pPr>
      <w:bookmarkStart w:id="6" w:name="_Toc90297779"/>
      <w:bookmarkEnd w:id="3"/>
      <w:r w:rsidRPr="00C87891">
        <w:t xml:space="preserve">Methodologies, </w:t>
      </w:r>
      <w:r w:rsidR="003F4F54" w:rsidRPr="00C87891">
        <w:t>c</w:t>
      </w:r>
      <w:r w:rsidR="00A91276" w:rsidRPr="00C87891">
        <w:t xml:space="preserve">onditions </w:t>
      </w:r>
      <w:r w:rsidR="003F4F54" w:rsidRPr="00C87891">
        <w:t>and v</w:t>
      </w:r>
      <w:r w:rsidRPr="00C87891">
        <w:t xml:space="preserve">alues </w:t>
      </w:r>
      <w:r w:rsidR="003F4F54" w:rsidRPr="00C87891">
        <w:t>s</w:t>
      </w:r>
      <w:r w:rsidR="00A91276" w:rsidRPr="00C87891">
        <w:t xml:space="preserve">ubject </w:t>
      </w:r>
      <w:r w:rsidRPr="00C87891">
        <w:t xml:space="preserve">to </w:t>
      </w:r>
      <w:r w:rsidR="003F4F54" w:rsidRPr="00C87891">
        <w:t>a</w:t>
      </w:r>
      <w:r w:rsidR="00A91276" w:rsidRPr="00C87891">
        <w:t xml:space="preserve">pproval </w:t>
      </w:r>
      <w:r w:rsidR="00EF0A57" w:rsidRPr="00C87891">
        <w:t>by all TSOs</w:t>
      </w:r>
      <w:bookmarkEnd w:id="6"/>
    </w:p>
    <w:p w14:paraId="56ADBFAE" w14:textId="77777777" w:rsidR="00060F46" w:rsidRPr="00C87891" w:rsidRDefault="001718C8" w:rsidP="00060F46">
      <w:r w:rsidRPr="001718C8">
        <w:t xml:space="preserve">The Parties acknowledge that at the moment of entry into force of the Agreement there is no obligation arising from the applicable legislation according to Article 2.1 of the SAFA to include Part </w:t>
      </w:r>
      <w:r>
        <w:t>B</w:t>
      </w:r>
      <w:r w:rsidRPr="001718C8">
        <w:t xml:space="preserve"> within the subject scope of the Policy on Accounting and Settlement.</w:t>
      </w:r>
    </w:p>
    <w:p w14:paraId="629F5811" w14:textId="77777777" w:rsidR="00785343" w:rsidRPr="00C87891" w:rsidRDefault="00785343" w:rsidP="00453CD2">
      <w:pPr>
        <w:ind w:left="578"/>
      </w:pPr>
    </w:p>
    <w:p w14:paraId="1602668F" w14:textId="77777777" w:rsidR="00CD6BF3" w:rsidRPr="00C87891" w:rsidRDefault="00CD6BF3" w:rsidP="004D2B81">
      <w:pPr>
        <w:pStyle w:val="Heading1"/>
      </w:pPr>
      <w:bookmarkStart w:id="7" w:name="_Toc90297780"/>
      <w:r w:rsidRPr="00C87891">
        <w:t xml:space="preserve">Methodologies, conditions and </w:t>
      </w:r>
      <w:r w:rsidR="00665970" w:rsidRPr="00C87891">
        <w:t>v</w:t>
      </w:r>
      <w:r w:rsidRPr="00C87891">
        <w:t>alues agreed among the members</w:t>
      </w:r>
      <w:r w:rsidR="00D24103" w:rsidRPr="00C87891">
        <w:t xml:space="preserve"> of RGCE</w:t>
      </w:r>
      <w:bookmarkEnd w:id="7"/>
    </w:p>
    <w:p w14:paraId="75254261" w14:textId="29EA98A2" w:rsidR="00CD6BF3" w:rsidRPr="00C87891" w:rsidRDefault="00CD6BF3" w:rsidP="00956C1C">
      <w:r w:rsidRPr="00C87891">
        <w:t xml:space="preserve">The following section includes all methodologies, conditions and values which are jointly developed and agreed among the </w:t>
      </w:r>
      <w:r w:rsidR="00CB66F7" w:rsidRPr="00C87891">
        <w:t>SAFA parties</w:t>
      </w:r>
      <w:r w:rsidRPr="00C87891">
        <w:t>.</w:t>
      </w:r>
    </w:p>
    <w:p w14:paraId="3170798D" w14:textId="77777777" w:rsidR="00B220D2" w:rsidRPr="00C87891" w:rsidRDefault="00443483" w:rsidP="004D2B81">
      <w:pPr>
        <w:pStyle w:val="Heading2"/>
      </w:pPr>
      <w:bookmarkStart w:id="8" w:name="_Toc475451993"/>
      <w:bookmarkStart w:id="9" w:name="_Toc475451994"/>
      <w:bookmarkStart w:id="10" w:name="_Toc475451998"/>
      <w:bookmarkStart w:id="11" w:name="_Toc475452001"/>
      <w:bookmarkStart w:id="12" w:name="_Toc475452004"/>
      <w:bookmarkStart w:id="13" w:name="_Toc475452005"/>
      <w:bookmarkStart w:id="14" w:name="_Toc475452006"/>
      <w:bookmarkStart w:id="15" w:name="_Toc475452008"/>
      <w:bookmarkStart w:id="16" w:name="_Toc90297781"/>
      <w:bookmarkEnd w:id="8"/>
      <w:bookmarkEnd w:id="9"/>
      <w:bookmarkEnd w:id="10"/>
      <w:bookmarkEnd w:id="11"/>
      <w:bookmarkEnd w:id="12"/>
      <w:bookmarkEnd w:id="13"/>
      <w:bookmarkEnd w:id="14"/>
      <w:bookmarkEnd w:id="15"/>
      <w:r w:rsidRPr="00C87891">
        <w:t>Definitions</w:t>
      </w:r>
      <w:bookmarkEnd w:id="16"/>
    </w:p>
    <w:p w14:paraId="42F3E8DE" w14:textId="77777777" w:rsidR="00F41D47" w:rsidRPr="00C87891" w:rsidRDefault="00F41D47" w:rsidP="009E65D7">
      <w:pPr>
        <w:pStyle w:val="Heading3"/>
      </w:pPr>
      <w:bookmarkStart w:id="17" w:name="_Toc90297782"/>
      <w:r w:rsidRPr="00C87891">
        <w:t>Accounting process</w:t>
      </w:r>
      <w:bookmarkEnd w:id="17"/>
    </w:p>
    <w:p w14:paraId="3804BEB7" w14:textId="6354D8D2" w:rsidR="00F41D47" w:rsidRPr="00C87891" w:rsidRDefault="009E65D7" w:rsidP="00830CE1">
      <w:r w:rsidRPr="00C87891">
        <w:t xml:space="preserve">The </w:t>
      </w:r>
      <w:r w:rsidR="00D67CEF" w:rsidRPr="00C87891">
        <w:t>A</w:t>
      </w:r>
      <w:r w:rsidRPr="00C87891">
        <w:t xml:space="preserve">ccounting </w:t>
      </w:r>
      <w:r w:rsidR="00D67CEF" w:rsidRPr="00C87891">
        <w:t>P</w:t>
      </w:r>
      <w:r w:rsidRPr="00C87891">
        <w:t xml:space="preserve">rocess is the validation of the metered data (usually located at an interconnecting </w:t>
      </w:r>
      <w:r w:rsidR="00D67CEF" w:rsidRPr="00C87891">
        <w:t>T</w:t>
      </w:r>
      <w:r w:rsidR="00DF6CB6" w:rsidRPr="00C87891">
        <w:t>ie-</w:t>
      </w:r>
      <w:r w:rsidR="00D67CEF" w:rsidRPr="00C87891">
        <w:t>L</w:t>
      </w:r>
      <w:r w:rsidR="00DF6CB6" w:rsidRPr="00C87891">
        <w:t>ine</w:t>
      </w:r>
      <w:r w:rsidRPr="00C87891">
        <w:t xml:space="preserve"> of a TSO) and of the resulting </w:t>
      </w:r>
      <w:r w:rsidR="00D67CEF" w:rsidRPr="00C87891">
        <w:t>A</w:t>
      </w:r>
      <w:r w:rsidRPr="00C87891">
        <w:t xml:space="preserve">ccounting </w:t>
      </w:r>
      <w:r w:rsidR="00D67CEF" w:rsidRPr="00C87891">
        <w:t>D</w:t>
      </w:r>
      <w:r w:rsidRPr="00C87891">
        <w:t xml:space="preserve">ata. </w:t>
      </w:r>
      <w:r w:rsidR="00D74B43" w:rsidRPr="00C87891">
        <w:t xml:space="preserve">The purpose of the daily accounting is to provide a validated set of </w:t>
      </w:r>
      <w:r w:rsidR="00D67CEF" w:rsidRPr="00C87891">
        <w:t>A</w:t>
      </w:r>
      <w:r w:rsidR="00D74B43" w:rsidRPr="00C87891">
        <w:t xml:space="preserve">ccounting </w:t>
      </w:r>
      <w:r w:rsidR="00D67CEF" w:rsidRPr="00C87891">
        <w:t>D</w:t>
      </w:r>
      <w:r w:rsidR="00D74B43" w:rsidRPr="00C87891">
        <w:t xml:space="preserve">ata to the </w:t>
      </w:r>
      <w:r w:rsidR="002E2691">
        <w:t>Coordination</w:t>
      </w:r>
      <w:r w:rsidR="00D74B43" w:rsidRPr="00C87891">
        <w:t xml:space="preserve"> Centres</w:t>
      </w:r>
      <w:r w:rsidR="00E46554">
        <w:t xml:space="preserve"> (CCs)</w:t>
      </w:r>
      <w:r w:rsidR="00D74B43" w:rsidRPr="00C87891">
        <w:t xml:space="preserve"> in order to calculate every day the actual state of the </w:t>
      </w:r>
      <w:r w:rsidR="00D67CEF" w:rsidRPr="00C87891">
        <w:t>A</w:t>
      </w:r>
      <w:r w:rsidR="00D74B43" w:rsidRPr="00C87891">
        <w:t xml:space="preserve">ccount of </w:t>
      </w:r>
      <w:r w:rsidR="00D67CEF" w:rsidRPr="00C87891">
        <w:t>U</w:t>
      </w:r>
      <w:r w:rsidR="00D74B43" w:rsidRPr="00C87891">
        <w:t xml:space="preserve">nintentional </w:t>
      </w:r>
      <w:r w:rsidR="00D67CEF" w:rsidRPr="00C87891">
        <w:t>D</w:t>
      </w:r>
      <w:r w:rsidR="00D74B43" w:rsidRPr="00C87891">
        <w:t>eviation.</w:t>
      </w:r>
    </w:p>
    <w:p w14:paraId="1C762315" w14:textId="0F6E3E24" w:rsidR="00F2016E" w:rsidRDefault="008B3CCA" w:rsidP="00F2016E">
      <w:r>
        <w:t>The purpose of the accounting process is the calculation of the</w:t>
      </w:r>
      <w:r w:rsidR="00C6202F">
        <w:t xml:space="preserve"> volumes o</w:t>
      </w:r>
      <w:r w:rsidR="003D2C9D">
        <w:t>f</w:t>
      </w:r>
      <w:r>
        <w:t xml:space="preserve"> </w:t>
      </w:r>
      <w:r w:rsidR="00F2016E">
        <w:t xml:space="preserve">intended exchanges of energy as a result of the frequency containment process (FCP energy), the ramping period energy (RP energy) and Unintended Exchanges (UE energy), for each TSO-TSO settlement period.  </w:t>
      </w:r>
    </w:p>
    <w:p w14:paraId="393A6B21" w14:textId="77777777" w:rsidR="0043518D" w:rsidRPr="00C87891" w:rsidRDefault="00F41D47" w:rsidP="009E65D7">
      <w:pPr>
        <w:pStyle w:val="Heading3"/>
      </w:pPr>
      <w:bookmarkStart w:id="18" w:name="_Toc54000654"/>
      <w:bookmarkStart w:id="19" w:name="_Toc90297783"/>
      <w:bookmarkEnd w:id="18"/>
      <w:r w:rsidRPr="00C87891">
        <w:t>Settlement process</w:t>
      </w:r>
      <w:bookmarkEnd w:id="19"/>
    </w:p>
    <w:p w14:paraId="0351E87F" w14:textId="0161D892" w:rsidR="000268E7" w:rsidRPr="00E46554" w:rsidRDefault="003D2C9D" w:rsidP="00E46554">
      <w:r>
        <w:t>The purpose of the Settlement Process is the determination of the settlement prices for the intended exchanges of energy as a result of the frequency containment process (FCP energy), the ramping period energy (RP energy) and Unintended Exchanges (UE energy), for each TSO-TSO settlement period</w:t>
      </w:r>
      <w:r w:rsidR="002E2740">
        <w:t xml:space="preserve"> and the final </w:t>
      </w:r>
      <w:r w:rsidR="00035040">
        <w:t>monetary values</w:t>
      </w:r>
      <w:r w:rsidR="002E2740">
        <w:t xml:space="preserve"> for each LFC area</w:t>
      </w:r>
      <w:r w:rsidR="0037032E">
        <w:t>/block</w:t>
      </w:r>
      <w:r w:rsidR="002E2740">
        <w:t xml:space="preserve"> and settlement period</w:t>
      </w:r>
      <w:r>
        <w:t>.</w:t>
      </w:r>
      <w:r w:rsidR="00035040">
        <w:t xml:space="preserve"> The Settlement Process concludes with the distribution of results through the Settlement Reports</w:t>
      </w:r>
      <w:r>
        <w:t xml:space="preserve"> </w:t>
      </w:r>
      <w:r w:rsidRPr="00E46554">
        <w:t xml:space="preserve"> </w:t>
      </w:r>
    </w:p>
    <w:p w14:paraId="57AE1393" w14:textId="77777777" w:rsidR="00E97D5C" w:rsidRPr="00C87891" w:rsidRDefault="006C4D0B" w:rsidP="00A37702">
      <w:pPr>
        <w:pStyle w:val="Heading3"/>
      </w:pPr>
      <w:bookmarkStart w:id="20" w:name="_Ref512261717"/>
      <w:bookmarkStart w:id="21" w:name="_Toc90297784"/>
      <w:r w:rsidRPr="00C87891">
        <w:t xml:space="preserve">Cross-border </w:t>
      </w:r>
      <w:r w:rsidR="00E97D5C" w:rsidRPr="00C87891">
        <w:t>Energy Exchanges</w:t>
      </w:r>
      <w:bookmarkEnd w:id="20"/>
      <w:bookmarkEnd w:id="21"/>
      <w:r w:rsidR="006451E3">
        <w:t xml:space="preserve"> </w:t>
      </w:r>
    </w:p>
    <w:p w14:paraId="4C31D8E0" w14:textId="77777777" w:rsidR="0060132B" w:rsidRPr="00C87891" w:rsidRDefault="0060132B" w:rsidP="00775C73">
      <w:r w:rsidRPr="00C87891">
        <w:t xml:space="preserve">The </w:t>
      </w:r>
      <w:r w:rsidR="006C4D0B" w:rsidRPr="00C87891">
        <w:t xml:space="preserve">cross-border </w:t>
      </w:r>
      <w:r w:rsidRPr="00C87891">
        <w:t>energy exchange consists of the following:</w:t>
      </w:r>
    </w:p>
    <w:p w14:paraId="1751E3A3" w14:textId="630CCDAB" w:rsidR="009B6CB1" w:rsidRPr="00E46554" w:rsidRDefault="00394B4C" w:rsidP="00E46554">
      <w:pPr>
        <w:rPr>
          <w:rStyle w:val="Strong"/>
        </w:rPr>
      </w:pPr>
      <m:oMathPara>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ex</m:t>
              </m:r>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sch</m:t>
              </m:r>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VTL</m:t>
              </m:r>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FCP</m:t>
              </m:r>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RP</m:t>
              </m:r>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ue</m:t>
              </m:r>
            </m:sub>
          </m:sSub>
        </m:oMath>
      </m:oMathPara>
    </w:p>
    <w:p w14:paraId="3B969897" w14:textId="77777777" w:rsidR="00B40F5A" w:rsidRPr="00C87891" w:rsidRDefault="004A77A7" w:rsidP="001D1D63">
      <w:pPr>
        <w:rPr>
          <w:rStyle w:val="Strong"/>
          <w:b w:val="0"/>
          <w:bCs w:val="0"/>
        </w:rPr>
      </w:pPr>
      <w:r>
        <w:rPr>
          <w:rStyle w:val="Strong"/>
        </w:rPr>
        <w:t xml:space="preserve">Cross-border flows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ex</m:t>
            </m:r>
          </m:sub>
        </m:sSub>
      </m:oMath>
    </w:p>
    <w:p w14:paraId="1B68B16C" w14:textId="5D1C8FC8" w:rsidR="003E0E00" w:rsidRPr="00C87891" w:rsidRDefault="00B40F5A" w:rsidP="003E0E00">
      <w:r w:rsidRPr="00C87891">
        <w:t xml:space="preserve">The sum of the </w:t>
      </w:r>
      <w:r w:rsidR="006C4D0B" w:rsidRPr="00C87891">
        <w:t xml:space="preserve">cross-border </w:t>
      </w:r>
      <w:r w:rsidR="00B5082A" w:rsidRPr="00C87891">
        <w:t>T</w:t>
      </w:r>
      <w:r w:rsidR="00775C73" w:rsidRPr="00C87891">
        <w:t>ie-</w:t>
      </w:r>
      <w:r w:rsidR="00B5082A" w:rsidRPr="00C87891">
        <w:t>L</w:t>
      </w:r>
      <w:r w:rsidR="00775C73" w:rsidRPr="00C87891">
        <w:t>ine</w:t>
      </w:r>
      <w:r w:rsidRPr="00C87891">
        <w:t xml:space="preserve"> flows on a border between two TSOs / LFC </w:t>
      </w:r>
      <w:r w:rsidR="00B5082A" w:rsidRPr="00C87891">
        <w:t>A</w:t>
      </w:r>
      <w:r w:rsidRPr="00C87891">
        <w:t xml:space="preserve">reas / LFC </w:t>
      </w:r>
      <w:r w:rsidR="00B5082A" w:rsidRPr="00C87891">
        <w:t>B</w:t>
      </w:r>
      <w:r w:rsidRPr="00C87891">
        <w:t>locks</w:t>
      </w:r>
      <w:r w:rsidR="001E7D5E" w:rsidRPr="00C87891">
        <w:t xml:space="preserve">, as taken from the </w:t>
      </w:r>
      <w:r w:rsidR="00B5082A" w:rsidRPr="00C87891">
        <w:t>A</w:t>
      </w:r>
      <w:r w:rsidR="001E7D5E" w:rsidRPr="00C87891">
        <w:t xml:space="preserve">ccounting </w:t>
      </w:r>
      <w:r w:rsidR="00B5082A" w:rsidRPr="00C87891">
        <w:t>D</w:t>
      </w:r>
      <w:r w:rsidR="001E7D5E" w:rsidRPr="00C87891">
        <w:t>ata.</w:t>
      </w:r>
    </w:p>
    <w:p w14:paraId="1A6B4A89" w14:textId="77777777" w:rsidR="006060CC" w:rsidRPr="00C87891" w:rsidRDefault="006060CC" w:rsidP="006060CC">
      <w:pPr>
        <w:rPr>
          <w:rStyle w:val="Strong"/>
          <w:b w:val="0"/>
          <w:bCs w:val="0"/>
        </w:rPr>
      </w:pPr>
      <w:r>
        <w:rPr>
          <w:rStyle w:val="Strong"/>
        </w:rPr>
        <w:t xml:space="preserve">Aggregated netted external schedules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sch</m:t>
            </m:r>
          </m:sub>
        </m:sSub>
      </m:oMath>
    </w:p>
    <w:p w14:paraId="21173C7E" w14:textId="153978E0" w:rsidR="006060CC" w:rsidRPr="00C87891" w:rsidRDefault="006060CC" w:rsidP="006060CC">
      <w:pPr>
        <w:rPr>
          <w:rStyle w:val="Strong"/>
          <w:b w:val="0"/>
          <w:bCs w:val="0"/>
        </w:rPr>
      </w:pPr>
      <w:r w:rsidRPr="00C87891">
        <w:rPr>
          <w:rStyle w:val="Strong"/>
          <w:b w:val="0"/>
          <w:bCs w:val="0"/>
        </w:rPr>
        <w:t xml:space="preserve">This means the cross-border energy exchange through Aggregated Netted External Schedules (ANES) according to SOGL. This includes the cross-border energy exchanged </w:t>
      </w:r>
      <w:r w:rsidR="00D00154">
        <w:rPr>
          <w:rStyle w:val="Strong"/>
          <w:b w:val="0"/>
          <w:bCs w:val="0"/>
        </w:rPr>
        <w:t>as</w:t>
      </w:r>
      <w:r w:rsidR="00D00154" w:rsidRPr="00C87891">
        <w:rPr>
          <w:rStyle w:val="Strong"/>
          <w:b w:val="0"/>
          <w:bCs w:val="0"/>
        </w:rPr>
        <w:t xml:space="preserve"> </w:t>
      </w:r>
      <w:r w:rsidRPr="00C87891">
        <w:rPr>
          <w:rStyle w:val="Strong"/>
          <w:b w:val="0"/>
          <w:bCs w:val="0"/>
        </w:rPr>
        <w:t xml:space="preserve">Replacement Reserves </w:t>
      </w:r>
      <w:r w:rsidR="00035040">
        <w:rPr>
          <w:rStyle w:val="Strong"/>
          <w:b w:val="0"/>
          <w:bCs w:val="0"/>
        </w:rPr>
        <w:t xml:space="preserve">and Emergency Assistance </w:t>
      </w:r>
      <w:r w:rsidRPr="00C87891">
        <w:rPr>
          <w:rStyle w:val="Strong"/>
          <w:b w:val="0"/>
          <w:bCs w:val="0"/>
        </w:rPr>
        <w:t xml:space="preserve">as well. </w:t>
      </w:r>
      <w:r w:rsidR="004C5C07">
        <w:rPr>
          <w:rStyle w:val="Strong"/>
          <w:b w:val="0"/>
          <w:bCs w:val="0"/>
        </w:rPr>
        <w:t xml:space="preserve"> </w:t>
      </w:r>
    </w:p>
    <w:p w14:paraId="137875A2" w14:textId="77777777" w:rsidR="009D7287" w:rsidRPr="00C87891" w:rsidRDefault="004A77A7" w:rsidP="001D1D63">
      <w:pPr>
        <w:rPr>
          <w:rStyle w:val="Strong"/>
        </w:rPr>
      </w:pPr>
      <w:r w:rsidRPr="004A77A7">
        <w:rPr>
          <w:rStyle w:val="Strong"/>
        </w:rPr>
        <w:t>Virtual tie-line exchanges</w:t>
      </w:r>
      <w:r>
        <w:rPr>
          <w:rStyle w:val="Strong"/>
          <w:b w:val="0"/>
          <w:bCs w:val="0"/>
        </w:rPr>
        <w:t xml:space="preserve">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VTL</m:t>
            </m:r>
          </m:sub>
        </m:sSub>
      </m:oMath>
    </w:p>
    <w:p w14:paraId="07C1F764" w14:textId="6B493A1A" w:rsidR="00217FC9" w:rsidRPr="00E46554" w:rsidRDefault="00775C73" w:rsidP="00110580">
      <w:r w:rsidRPr="00C87891">
        <w:rPr>
          <w:rStyle w:val="Strong"/>
          <w:b w:val="0"/>
          <w:bCs w:val="0"/>
        </w:rPr>
        <w:t xml:space="preserve">Virtual </w:t>
      </w:r>
      <w:r w:rsidR="00B5082A" w:rsidRPr="00C87891">
        <w:rPr>
          <w:rStyle w:val="Strong"/>
          <w:b w:val="0"/>
          <w:bCs w:val="0"/>
        </w:rPr>
        <w:t>T</w:t>
      </w:r>
      <w:r w:rsidRPr="00C87891">
        <w:rPr>
          <w:rStyle w:val="Strong"/>
          <w:b w:val="0"/>
          <w:bCs w:val="0"/>
        </w:rPr>
        <w:t>ie-</w:t>
      </w:r>
      <w:r w:rsidR="00B5082A" w:rsidRPr="00C87891">
        <w:rPr>
          <w:rStyle w:val="Strong"/>
          <w:b w:val="0"/>
          <w:bCs w:val="0"/>
        </w:rPr>
        <w:t>L</w:t>
      </w:r>
      <w:r w:rsidR="009D7287" w:rsidRPr="00C87891">
        <w:rPr>
          <w:rStyle w:val="Strong"/>
          <w:b w:val="0"/>
          <w:bCs w:val="0"/>
        </w:rPr>
        <w:t xml:space="preserve">ine is </w:t>
      </w:r>
      <w:r w:rsidR="009D7287" w:rsidRPr="00C87891">
        <w:t>defined</w:t>
      </w:r>
      <w:r w:rsidR="009D7287" w:rsidRPr="00C87891">
        <w:rPr>
          <w:rStyle w:val="Strong"/>
          <w:b w:val="0"/>
          <w:bCs w:val="0"/>
        </w:rPr>
        <w:t xml:space="preserve"> in SOGL. The energy exchanged through </w:t>
      </w:r>
      <w:r w:rsidR="00B5082A" w:rsidRPr="00C87891">
        <w:rPr>
          <w:rStyle w:val="Strong"/>
          <w:b w:val="0"/>
          <w:bCs w:val="0"/>
        </w:rPr>
        <w:t>V</w:t>
      </w:r>
      <w:r w:rsidR="009D7287" w:rsidRPr="00C87891">
        <w:rPr>
          <w:rStyle w:val="Strong"/>
          <w:b w:val="0"/>
          <w:bCs w:val="0"/>
        </w:rPr>
        <w:t xml:space="preserve">irtual </w:t>
      </w:r>
      <w:r w:rsidR="00B5082A" w:rsidRPr="00C87891">
        <w:rPr>
          <w:rStyle w:val="Strong"/>
          <w:b w:val="0"/>
          <w:bCs w:val="0"/>
        </w:rPr>
        <w:t>T</w:t>
      </w:r>
      <w:r w:rsidR="009D7287" w:rsidRPr="00C87891">
        <w:rPr>
          <w:rStyle w:val="Strong"/>
          <w:b w:val="0"/>
          <w:bCs w:val="0"/>
        </w:rPr>
        <w:t>ie</w:t>
      </w:r>
      <w:r w:rsidR="000545B3" w:rsidRPr="00C87891">
        <w:rPr>
          <w:rStyle w:val="Strong"/>
          <w:b w:val="0"/>
          <w:bCs w:val="0"/>
        </w:rPr>
        <w:t>-</w:t>
      </w:r>
      <w:r w:rsidR="00B5082A" w:rsidRPr="00C87891">
        <w:rPr>
          <w:rStyle w:val="Strong"/>
          <w:b w:val="0"/>
          <w:bCs w:val="0"/>
        </w:rPr>
        <w:t>L</w:t>
      </w:r>
      <w:r w:rsidR="009D7287" w:rsidRPr="00C87891">
        <w:rPr>
          <w:rStyle w:val="Strong"/>
          <w:b w:val="0"/>
          <w:bCs w:val="0"/>
        </w:rPr>
        <w:t xml:space="preserve">ines can be manual </w:t>
      </w:r>
      <w:r w:rsidR="00B5082A" w:rsidRPr="00C87891">
        <w:rPr>
          <w:rStyle w:val="Strong"/>
          <w:b w:val="0"/>
          <w:bCs w:val="0"/>
        </w:rPr>
        <w:t>Frequency Restoration Reserves, automatic Frequency Restoration Reserves and Imbalance Netting</w:t>
      </w:r>
      <w:r w:rsidR="009D7287" w:rsidRPr="00C87891">
        <w:rPr>
          <w:rStyle w:val="Strong"/>
          <w:b w:val="0"/>
          <w:bCs w:val="0"/>
        </w:rPr>
        <w:t xml:space="preserve">. </w:t>
      </w:r>
      <w:r w:rsidR="00AD5F99" w:rsidRPr="00C87891">
        <w:rPr>
          <w:rStyle w:val="Strong"/>
          <w:b w:val="0"/>
          <w:bCs w:val="0"/>
        </w:rPr>
        <w:t>Moreover,</w:t>
      </w:r>
      <w:r w:rsidR="009D7287" w:rsidRPr="00C87891">
        <w:rPr>
          <w:rStyle w:val="Strong"/>
          <w:b w:val="0"/>
          <w:bCs w:val="0"/>
        </w:rPr>
        <w:t xml:space="preserve"> there might be other proce</w:t>
      </w:r>
      <w:r w:rsidR="00073A6F" w:rsidRPr="00C87891">
        <w:rPr>
          <w:rStyle w:val="Strong"/>
          <w:b w:val="0"/>
          <w:bCs w:val="0"/>
        </w:rPr>
        <w:t xml:space="preserve">sses that use </w:t>
      </w:r>
      <w:r w:rsidR="00B5082A" w:rsidRPr="00C87891">
        <w:rPr>
          <w:rStyle w:val="Strong"/>
          <w:b w:val="0"/>
          <w:bCs w:val="0"/>
        </w:rPr>
        <w:t>V</w:t>
      </w:r>
      <w:r w:rsidR="00073A6F" w:rsidRPr="00C87891">
        <w:rPr>
          <w:rStyle w:val="Strong"/>
          <w:b w:val="0"/>
          <w:bCs w:val="0"/>
        </w:rPr>
        <w:t xml:space="preserve">irtual </w:t>
      </w:r>
      <w:r w:rsidR="00B5082A" w:rsidRPr="00C87891">
        <w:rPr>
          <w:rStyle w:val="Strong"/>
          <w:b w:val="0"/>
          <w:bCs w:val="0"/>
        </w:rPr>
        <w:t>T</w:t>
      </w:r>
      <w:r w:rsidR="00073A6F" w:rsidRPr="00C87891">
        <w:rPr>
          <w:rStyle w:val="Strong"/>
          <w:b w:val="0"/>
          <w:bCs w:val="0"/>
        </w:rPr>
        <w:t>ie-</w:t>
      </w:r>
      <w:r w:rsidR="00B5082A" w:rsidRPr="00C87891">
        <w:rPr>
          <w:rStyle w:val="Strong"/>
          <w:b w:val="0"/>
          <w:bCs w:val="0"/>
        </w:rPr>
        <w:t>L</w:t>
      </w:r>
      <w:r w:rsidR="00073A6F" w:rsidRPr="00C87891">
        <w:rPr>
          <w:rStyle w:val="Strong"/>
          <w:b w:val="0"/>
          <w:bCs w:val="0"/>
        </w:rPr>
        <w:t xml:space="preserve">ines </w:t>
      </w:r>
      <w:r w:rsidR="009D7287" w:rsidRPr="00C87891">
        <w:rPr>
          <w:rStyle w:val="Strong"/>
          <w:b w:val="0"/>
          <w:bCs w:val="0"/>
        </w:rPr>
        <w:t>for the exchange of energy.</w:t>
      </w:r>
      <w:r w:rsidR="009331A7" w:rsidRPr="00C87891">
        <w:rPr>
          <w:rStyle w:val="Strong"/>
          <w:b w:val="0"/>
          <w:bCs w:val="0"/>
        </w:rPr>
        <w:t xml:space="preserve"> Virtual tie-line exchanges are </w:t>
      </w:r>
      <w:r w:rsidR="004C5C07">
        <w:rPr>
          <w:rStyle w:val="Strong"/>
          <w:b w:val="0"/>
          <w:bCs w:val="0"/>
        </w:rPr>
        <w:t>established</w:t>
      </w:r>
      <w:r w:rsidR="004C5C07" w:rsidRPr="00C87891">
        <w:rPr>
          <w:rStyle w:val="Strong"/>
          <w:b w:val="0"/>
          <w:bCs w:val="0"/>
        </w:rPr>
        <w:t xml:space="preserve"> </w:t>
      </w:r>
      <w:r w:rsidR="004C5C07">
        <w:rPr>
          <w:rStyle w:val="Strong"/>
          <w:b w:val="0"/>
          <w:bCs w:val="0"/>
        </w:rPr>
        <w:t>with</w:t>
      </w:r>
      <w:r w:rsidR="009331A7" w:rsidRPr="00C87891">
        <w:rPr>
          <w:rStyle w:val="Strong"/>
          <w:b w:val="0"/>
          <w:bCs w:val="0"/>
        </w:rPr>
        <w:t xml:space="preserve">in the </w:t>
      </w:r>
      <w:r w:rsidR="006060CC">
        <w:rPr>
          <w:rStyle w:val="Strong"/>
          <w:b w:val="0"/>
          <w:bCs w:val="0"/>
        </w:rPr>
        <w:t>A</w:t>
      </w:r>
      <w:r w:rsidR="009331A7" w:rsidRPr="00C87891">
        <w:rPr>
          <w:rStyle w:val="Strong"/>
          <w:b w:val="0"/>
          <w:bCs w:val="0"/>
        </w:rPr>
        <w:t xml:space="preserve">ccounting </w:t>
      </w:r>
      <w:r w:rsidR="004C5C07">
        <w:rPr>
          <w:rStyle w:val="Strong"/>
          <w:b w:val="0"/>
          <w:bCs w:val="0"/>
        </w:rPr>
        <w:t>D</w:t>
      </w:r>
      <w:r w:rsidR="009331A7" w:rsidRPr="00C87891">
        <w:rPr>
          <w:rStyle w:val="Strong"/>
          <w:b w:val="0"/>
          <w:bCs w:val="0"/>
        </w:rPr>
        <w:t>ata</w:t>
      </w:r>
      <w:r w:rsidR="00C26A7D" w:rsidRPr="00C87891">
        <w:rPr>
          <w:rStyle w:val="Strong"/>
          <w:b w:val="0"/>
          <w:bCs w:val="0"/>
        </w:rPr>
        <w:t>.</w:t>
      </w:r>
      <w:r w:rsidR="003D2C9D" w:rsidRPr="009E0E53">
        <w:t xml:space="preserve"> </w:t>
      </w:r>
    </w:p>
    <w:p w14:paraId="501621FE" w14:textId="6FB9F7A6" w:rsidR="00D07940" w:rsidRPr="004B76D5" w:rsidRDefault="004B76D5" w:rsidP="00110580">
      <w:pPr>
        <w:rPr>
          <w:rStyle w:val="Strong"/>
        </w:rPr>
      </w:pPr>
      <w:r w:rsidRPr="004B76D5">
        <w:rPr>
          <w:rStyle w:val="Strong"/>
        </w:rPr>
        <w:t xml:space="preserve">Frequency </w:t>
      </w:r>
      <w:r>
        <w:rPr>
          <w:rStyle w:val="Strong"/>
        </w:rPr>
        <w:t>C</w:t>
      </w:r>
      <w:r w:rsidRPr="004B76D5">
        <w:rPr>
          <w:rStyle w:val="Strong"/>
        </w:rPr>
        <w:t xml:space="preserve">ontainment </w:t>
      </w:r>
      <w:r>
        <w:rPr>
          <w:rStyle w:val="Strong"/>
        </w:rPr>
        <w:t>P</w:t>
      </w:r>
      <w:r w:rsidRPr="004B76D5">
        <w:rPr>
          <w:rStyle w:val="Strong"/>
        </w:rPr>
        <w:t xml:space="preserve">rocess </w:t>
      </w:r>
      <w:r>
        <w:rPr>
          <w:rStyle w:val="Strong"/>
        </w:rPr>
        <w:t>E</w:t>
      </w:r>
      <w:r w:rsidRPr="004B76D5">
        <w:rPr>
          <w:rStyle w:val="Strong"/>
        </w:rPr>
        <w:t>nergy</w:t>
      </w:r>
      <w:r w:rsidR="0037032E">
        <w:rPr>
          <w:rStyle w:val="Strong"/>
        </w:rPr>
        <w:t xml:space="preserve"> or FCP Energy</w:t>
      </w:r>
      <w:r w:rsidRPr="004B76D5">
        <w:rPr>
          <w:rStyle w:val="Strong"/>
        </w:rPr>
        <w:t xml:space="preserve">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FCP</m:t>
            </m:r>
          </m:sub>
        </m:sSub>
      </m:oMath>
    </w:p>
    <w:p w14:paraId="493AB945" w14:textId="0F04F29F" w:rsidR="00D07940" w:rsidRDefault="00394B4C" w:rsidP="004B76D5">
      <w:pPr>
        <w:rPr>
          <w:rStyle w:val="Strong"/>
          <w:b w:val="0"/>
          <w:bCs w:val="0"/>
        </w:rPr>
      </w:pP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FCP</m:t>
            </m:r>
          </m:sub>
        </m:sSub>
      </m:oMath>
      <w:r w:rsidR="004B76D5">
        <w:rPr>
          <w:rStyle w:val="Strong"/>
        </w:rPr>
        <w:t xml:space="preserve"> </w:t>
      </w:r>
      <w:r w:rsidR="004B76D5" w:rsidRPr="00035040">
        <w:rPr>
          <w:rStyle w:val="Strong"/>
          <w:b w:val="0"/>
          <w:bCs w:val="0"/>
        </w:rPr>
        <w:t>refers to</w:t>
      </w:r>
      <w:r w:rsidR="004B76D5">
        <w:rPr>
          <w:rStyle w:val="Strong"/>
        </w:rPr>
        <w:t xml:space="preserve"> </w:t>
      </w:r>
      <w:r w:rsidR="00D07940" w:rsidRPr="00035040">
        <w:rPr>
          <w:rStyle w:val="Strong"/>
          <w:b w:val="0"/>
          <w:bCs w:val="0"/>
        </w:rPr>
        <w:t xml:space="preserve">the </w:t>
      </w:r>
      <w:r w:rsidR="004B76D5" w:rsidRPr="004B76D5">
        <w:rPr>
          <w:rStyle w:val="Strong"/>
          <w:b w:val="0"/>
          <w:bCs w:val="0"/>
        </w:rPr>
        <w:t>intended exchanges of</w:t>
      </w:r>
      <w:r w:rsidR="00D07940" w:rsidRPr="00035040">
        <w:rPr>
          <w:rStyle w:val="Strong"/>
          <w:b w:val="0"/>
          <w:bCs w:val="0"/>
        </w:rPr>
        <w:t xml:space="preserve"> energy</w:t>
      </w:r>
      <w:r w:rsidR="004B76D5">
        <w:rPr>
          <w:rStyle w:val="Strong"/>
          <w:b w:val="0"/>
          <w:bCs w:val="0"/>
        </w:rPr>
        <w:t xml:space="preserve"> </w:t>
      </w:r>
      <w:r w:rsidR="00D07940" w:rsidRPr="00035040">
        <w:rPr>
          <w:rStyle w:val="Strong"/>
          <w:b w:val="0"/>
          <w:bCs w:val="0"/>
        </w:rPr>
        <w:t>as</w:t>
      </w:r>
      <w:r w:rsidR="004B76D5">
        <w:rPr>
          <w:rStyle w:val="Strong"/>
          <w:b w:val="0"/>
          <w:bCs w:val="0"/>
        </w:rPr>
        <w:t xml:space="preserve"> </w:t>
      </w:r>
      <w:r w:rsidR="00D07940" w:rsidRPr="00035040">
        <w:rPr>
          <w:rStyle w:val="Strong"/>
          <w:b w:val="0"/>
          <w:bCs w:val="0"/>
        </w:rPr>
        <w:t>a result of</w:t>
      </w:r>
      <w:r w:rsidR="004B76D5">
        <w:rPr>
          <w:rStyle w:val="Strong"/>
          <w:b w:val="0"/>
          <w:bCs w:val="0"/>
        </w:rPr>
        <w:t xml:space="preserve"> </w:t>
      </w:r>
      <w:r w:rsidR="00D07940" w:rsidRPr="00035040">
        <w:rPr>
          <w:rStyle w:val="Strong"/>
          <w:b w:val="0"/>
          <w:bCs w:val="0"/>
        </w:rPr>
        <w:t>frequency contain</w:t>
      </w:r>
      <w:r w:rsidR="007A5BBA">
        <w:rPr>
          <w:rStyle w:val="Strong"/>
          <w:b w:val="0"/>
          <w:bCs w:val="0"/>
        </w:rPr>
        <w:t>m</w:t>
      </w:r>
      <w:r w:rsidR="00D07940" w:rsidRPr="00035040">
        <w:rPr>
          <w:rStyle w:val="Strong"/>
          <w:b w:val="0"/>
          <w:bCs w:val="0"/>
        </w:rPr>
        <w:t>ent   process</w:t>
      </w:r>
      <w:r w:rsidR="004B76D5">
        <w:rPr>
          <w:rStyle w:val="Strong"/>
          <w:b w:val="0"/>
          <w:bCs w:val="0"/>
        </w:rPr>
        <w:t xml:space="preserve">. </w:t>
      </w:r>
      <w:r w:rsidR="004B76D5" w:rsidRPr="004B76D5">
        <w:rPr>
          <w:rStyle w:val="Strong"/>
          <w:b w:val="0"/>
          <w:bCs w:val="0"/>
        </w:rPr>
        <w:t>It</w:t>
      </w:r>
      <w:r w:rsidR="004B76D5">
        <w:rPr>
          <w:rStyle w:val="Strong"/>
          <w:b w:val="0"/>
          <w:bCs w:val="0"/>
        </w:rPr>
        <w:t xml:space="preserve"> </w:t>
      </w:r>
      <w:r w:rsidR="004B76D5" w:rsidRPr="004B76D5">
        <w:rPr>
          <w:rStyle w:val="Strong"/>
          <w:b w:val="0"/>
          <w:bCs w:val="0"/>
        </w:rPr>
        <w:t xml:space="preserve">is  equal  to  the  product  of  the  notified  K-factor  with  the </w:t>
      </w:r>
      <w:r w:rsidR="004B76D5">
        <w:rPr>
          <w:rStyle w:val="Strong"/>
          <w:b w:val="0"/>
          <w:bCs w:val="0"/>
        </w:rPr>
        <w:t>a</w:t>
      </w:r>
      <w:r w:rsidR="004B76D5" w:rsidRPr="004B76D5">
        <w:rPr>
          <w:rStyle w:val="Strong"/>
          <w:b w:val="0"/>
          <w:bCs w:val="0"/>
        </w:rPr>
        <w:t>verage frequency deviation for each TSO-TSO settlement period and each LFC area.</w:t>
      </w:r>
      <w:r w:rsidR="004B76D5">
        <w:rPr>
          <w:rStyle w:val="Strong"/>
          <w:b w:val="0"/>
          <w:bCs w:val="0"/>
        </w:rPr>
        <w:t xml:space="preserve"> </w:t>
      </w:r>
    </w:p>
    <w:p w14:paraId="1FE64F62" w14:textId="77777777" w:rsidR="004B76D5" w:rsidRDefault="004B76D5">
      <w:r w:rsidRPr="009E0E53">
        <w:rPr>
          <w:b/>
          <w:bCs/>
        </w:rPr>
        <w:t>K-factor</w:t>
      </w:r>
      <w:r w:rsidRPr="009E0E53">
        <w:t>. K-factor represents the assumed reaction of a LFC area/block to a frequency deviation. Defined in the SOGL as a value expressed in Megawatts per Hertz (‘MW/Hz’), which is as close as practical to, or greater than the sum of the auto-control of generation, self-regulation of load and of the contribution of frequency containment reserve relative to the maximum steady-state frequency deviation. The K-factors are provided by each TSO for its own LFC area/block.</w:t>
      </w:r>
    </w:p>
    <w:p w14:paraId="61801E78" w14:textId="6333A4E4" w:rsidR="004B76D5" w:rsidRDefault="004B76D5">
      <w:r w:rsidRPr="009E0E53">
        <w:rPr>
          <w:b/>
          <w:bCs/>
        </w:rPr>
        <w:t>Δ</w:t>
      </w:r>
      <w:r w:rsidRPr="009E0E53">
        <w:rPr>
          <w:b/>
          <w:bCs/>
          <w:i/>
          <w:iCs/>
        </w:rPr>
        <w:t>f</w:t>
      </w:r>
      <w:r w:rsidRPr="009E0E53">
        <w:t xml:space="preserve"> (frequency deviation). The Δ</w:t>
      </w:r>
      <w:r w:rsidRPr="009E0E53">
        <w:rPr>
          <w:i/>
          <w:iCs/>
        </w:rPr>
        <w:t>f</w:t>
      </w:r>
      <w:r w:rsidRPr="009E0E53">
        <w:t xml:space="preserve"> represents the average value of the </w:t>
      </w:r>
      <w:r w:rsidR="002B0553" w:rsidRPr="009E0E53">
        <w:t xml:space="preserve">secondly </w:t>
      </w:r>
      <w:r w:rsidRPr="009E0E53">
        <w:t xml:space="preserve">frequency deviations </w:t>
      </w:r>
      <w:r w:rsidR="002B0553" w:rsidRPr="009E0E53">
        <w:t xml:space="preserve">relative to the nominal system frequency </w:t>
      </w:r>
      <w:r w:rsidRPr="009E0E53">
        <w:t>in the Synchronous Area per TSO-TSO settlement period. The value of Δ</w:t>
      </w:r>
      <w:r w:rsidRPr="009E0E53">
        <w:rPr>
          <w:i/>
          <w:iCs/>
        </w:rPr>
        <w:t>f</w:t>
      </w:r>
      <w:r w:rsidRPr="009E0E53">
        <w:t xml:space="preserve"> is expressed in mHz.</w:t>
      </w:r>
    </w:p>
    <w:p w14:paraId="4F49A973" w14:textId="2001FD0F" w:rsidR="002B0553" w:rsidRPr="002B0553" w:rsidRDefault="002B0553" w:rsidP="00817ED3">
      <w:pPr>
        <w:rPr>
          <w:rFonts w:cstheme="minorHAnsi"/>
        </w:rPr>
      </w:pPr>
      <m:oMathPara>
        <m:oMath>
          <m:r>
            <w:rPr>
              <w:rFonts w:ascii="Cambria Math" w:hAnsi="Cambria Math" w:cstheme="minorHAnsi"/>
            </w:rPr>
            <m:t>∆f=</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measured</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set</m:t>
              </m:r>
            </m:sub>
          </m:sSub>
        </m:oMath>
      </m:oMathPara>
    </w:p>
    <w:p w14:paraId="0755E811" w14:textId="5E9627F3" w:rsidR="002B0553" w:rsidRPr="00B251A5" w:rsidRDefault="002B0553">
      <w:r w:rsidRPr="009E0E53">
        <w:t xml:space="preserve">Where </w:t>
      </w:r>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measured</m:t>
            </m:r>
          </m:sub>
        </m:sSub>
      </m:oMath>
      <w:r w:rsidRPr="009E0E53">
        <w:t xml:space="preserve"> is the average measured value of the frequency per TSO-TSO settlement period in the Laufenburg node of the Synchronous Area. </w:t>
      </w:r>
    </w:p>
    <w:p w14:paraId="2D9C4298" w14:textId="48A849A6" w:rsidR="004B76D5" w:rsidRDefault="004B76D5" w:rsidP="00110580">
      <w:pPr>
        <w:rPr>
          <w:rStyle w:val="Strong"/>
        </w:rPr>
      </w:pPr>
      <w:r>
        <w:rPr>
          <w:rStyle w:val="Strong"/>
        </w:rPr>
        <w:t>Ramping Period Energy</w:t>
      </w:r>
      <w:r w:rsidR="0037032E">
        <w:rPr>
          <w:rStyle w:val="Strong"/>
        </w:rPr>
        <w:t xml:space="preserve"> or RP Energy</w:t>
      </w:r>
      <w:r>
        <w:rPr>
          <w:rStyle w:val="Strong"/>
        </w:rPr>
        <w:t xml:space="preserve">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RP</m:t>
            </m:r>
          </m:sub>
        </m:sSub>
      </m:oMath>
    </w:p>
    <w:p w14:paraId="646E6058" w14:textId="453C0DE9" w:rsidR="004B76D5" w:rsidRPr="002B0553" w:rsidRDefault="004B76D5" w:rsidP="004B76D5">
      <w:pPr>
        <w:rPr>
          <w:rStyle w:val="Strong"/>
          <w:b w:val="0"/>
          <w:bCs w:val="0"/>
        </w:rPr>
      </w:pPr>
      <w:r w:rsidRPr="002B0553">
        <w:rPr>
          <w:rStyle w:val="Strong"/>
          <w:b w:val="0"/>
          <w:bCs w:val="0"/>
        </w:rPr>
        <w:t>Energy  exchanged  as  a  result  of  ramping  between  different ANES  values  (ANES n-1   and  ANES n ,  where  n  and  n-1  refer  to  adjacent  TSO-TSO  settlement periods). The RP energy is the difference between a step change and a ramped change, where the ramp is linear starting 5 minutes before the change and ending 5 minutes after the change.</w:t>
      </w:r>
    </w:p>
    <w:p w14:paraId="340E66E3" w14:textId="7346EAE8" w:rsidR="00110580" w:rsidRPr="00B51B29" w:rsidRDefault="00110580" w:rsidP="00110580">
      <w:pPr>
        <w:rPr>
          <w:rStyle w:val="Strong"/>
        </w:rPr>
      </w:pPr>
      <w:r>
        <w:rPr>
          <w:rStyle w:val="Strong"/>
        </w:rPr>
        <w:t>Unintended Energy E</w:t>
      </w:r>
      <w:r w:rsidRPr="002351DF">
        <w:rPr>
          <w:rStyle w:val="Strong"/>
        </w:rPr>
        <w:t>xchange</w:t>
      </w:r>
      <w:r w:rsidR="0037032E">
        <w:rPr>
          <w:rStyle w:val="Strong"/>
        </w:rPr>
        <w:t xml:space="preserve"> or UE Energy</w:t>
      </w:r>
      <w:r>
        <w:rPr>
          <w:rStyle w:val="Strong"/>
        </w:rPr>
        <w:t xml:space="preserve">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ue</m:t>
            </m:r>
          </m:sub>
        </m:sSub>
      </m:oMath>
      <w:r w:rsidR="001A6B98">
        <w:rPr>
          <w:rStyle w:val="Strong"/>
          <w:b w:val="0"/>
          <w:bCs w:val="0"/>
        </w:rPr>
        <w:t xml:space="preserve"> </w:t>
      </w:r>
    </w:p>
    <w:p w14:paraId="764C562C" w14:textId="42021410" w:rsidR="00110580" w:rsidRPr="00C32158" w:rsidRDefault="00110580" w:rsidP="003E0E00">
      <w:pPr>
        <w:rPr>
          <w:rStyle w:val="Strong"/>
          <w:b w:val="0"/>
          <w:bCs w:val="0"/>
          <w:lang w:val="en-US"/>
        </w:rPr>
      </w:pPr>
      <w:r w:rsidRPr="00C32158">
        <w:rPr>
          <w:rStyle w:val="Strong"/>
          <w:b w:val="0"/>
          <w:bCs w:val="0"/>
          <w:lang w:val="en-US"/>
        </w:rPr>
        <w:t xml:space="preserve">This means the unintended cross-border exchange of energy according to EBGL.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ue</m:t>
            </m:r>
          </m:sub>
        </m:sSub>
      </m:oMath>
      <w:r w:rsidRPr="00C32158">
        <w:rPr>
          <w:rStyle w:val="Strong"/>
          <w:b w:val="0"/>
          <w:bCs w:val="0"/>
          <w:lang w:val="en-US"/>
        </w:rPr>
        <w:t xml:space="preserve"> is equal to the remaining energy exchanges, which are not included </w:t>
      </w:r>
      <w:r w:rsidR="002B0553">
        <w:rPr>
          <w:rStyle w:val="Strong"/>
          <w:b w:val="0"/>
          <w:bCs w:val="0"/>
          <w:lang w:val="en-US"/>
        </w:rPr>
        <w:t xml:space="preserve">due to </w:t>
      </w:r>
      <w:r w:rsidRPr="00C32158">
        <w:rPr>
          <w:rStyle w:val="Strong"/>
          <w:b w:val="0"/>
          <w:bCs w:val="0"/>
          <w:lang w:val="en-US"/>
        </w:rPr>
        <w:t>the verified ANES, the virtual tie-line exchanges, the delivery of FCR (FCP energy) or the realization of ramps in the control programs (RP energy).</w:t>
      </w:r>
    </w:p>
    <w:p w14:paraId="178409D0" w14:textId="619BCA3F" w:rsidR="00E97D5C" w:rsidRPr="00C87891" w:rsidRDefault="00AF664C" w:rsidP="00C26A7D">
      <w:pPr>
        <w:pStyle w:val="Heading3"/>
      </w:pPr>
      <w:bookmarkStart w:id="22" w:name="_Toc54000657"/>
      <w:bookmarkStart w:id="23" w:name="_Toc54000658"/>
      <w:bookmarkStart w:id="24" w:name="_Toc54000659"/>
      <w:bookmarkStart w:id="25" w:name="_Toc90297785"/>
      <w:bookmarkEnd w:id="22"/>
      <w:bookmarkEnd w:id="23"/>
      <w:bookmarkEnd w:id="24"/>
      <w:r w:rsidRPr="00C87891">
        <w:t>Meter Measurement Data</w:t>
      </w:r>
      <w:bookmarkEnd w:id="25"/>
    </w:p>
    <w:p w14:paraId="3F79344C" w14:textId="046EB7C1" w:rsidR="00E074EA" w:rsidRPr="00C87891" w:rsidRDefault="00E97D5C" w:rsidP="003E0E00">
      <w:r w:rsidRPr="00C87891">
        <w:t xml:space="preserve">The physical energy exchange is registered per </w:t>
      </w:r>
      <w:r w:rsidR="00B5082A" w:rsidRPr="00C87891">
        <w:t>Tie-Line</w:t>
      </w:r>
      <w:r w:rsidRPr="00C87891">
        <w:t xml:space="preserve">, by meter devices installed at substations, which are located at </w:t>
      </w:r>
      <w:r w:rsidR="00D5761B">
        <w:t>each</w:t>
      </w:r>
      <w:r w:rsidR="00D5761B" w:rsidRPr="00C87891">
        <w:t xml:space="preserve"> </w:t>
      </w:r>
      <w:r w:rsidRPr="00C87891">
        <w:t xml:space="preserve">end of the </w:t>
      </w:r>
      <w:r w:rsidR="00B5082A" w:rsidRPr="00C87891">
        <w:t>Tie-Line</w:t>
      </w:r>
      <w:r w:rsidRPr="00C87891">
        <w:t xml:space="preserve">. There </w:t>
      </w:r>
      <w:r w:rsidR="004D3CA6" w:rsidRPr="00C87891">
        <w:t xml:space="preserve">must be </w:t>
      </w:r>
      <w:r w:rsidRPr="00C87891">
        <w:t xml:space="preserve">at least one main meter device and up to “n” back up meter devices per </w:t>
      </w:r>
      <w:r w:rsidR="00B5082A" w:rsidRPr="00C87891">
        <w:t>Tie-Line</w:t>
      </w:r>
      <w:r w:rsidR="00D5761B">
        <w:t xml:space="preserve"> on each end of the Tie-Line</w:t>
      </w:r>
      <w:r w:rsidRPr="00C87891">
        <w:t>.</w:t>
      </w:r>
    </w:p>
    <w:p w14:paraId="27D8293E" w14:textId="77777777" w:rsidR="00E97D5C" w:rsidRPr="00C87891" w:rsidRDefault="00075863" w:rsidP="00C26A7D">
      <w:pPr>
        <w:pStyle w:val="Heading3"/>
      </w:pPr>
      <w:bookmarkStart w:id="26" w:name="_Toc90297786"/>
      <w:r w:rsidRPr="00C87891">
        <w:t>Accounting Point</w:t>
      </w:r>
      <w:bookmarkEnd w:id="26"/>
    </w:p>
    <w:p w14:paraId="2AB2FD00" w14:textId="2127F489" w:rsidR="00E97D5C" w:rsidRPr="00C87891" w:rsidRDefault="00E97D5C" w:rsidP="003E0E00">
      <w:r w:rsidRPr="00C87891">
        <w:t xml:space="preserve">The </w:t>
      </w:r>
      <w:r w:rsidR="00B5082A" w:rsidRPr="00C87891">
        <w:t>Accounting Point</w:t>
      </w:r>
      <w:r w:rsidRPr="00C87891">
        <w:t xml:space="preserve"> is the agreed energy delivery point between two TSOs. </w:t>
      </w:r>
      <w:r w:rsidR="00914230">
        <w:t xml:space="preserve">The </w:t>
      </w:r>
      <w:r w:rsidR="00E71E9F">
        <w:t>A</w:t>
      </w:r>
      <w:r w:rsidR="00914230">
        <w:t xml:space="preserve">ccounting </w:t>
      </w:r>
      <w:r w:rsidR="00E71E9F">
        <w:t>P</w:t>
      </w:r>
      <w:r w:rsidR="00914230">
        <w:t xml:space="preserve">oint can be placed anywhere on the Tie-Line in accordance </w:t>
      </w:r>
      <w:r w:rsidR="00E71E9F">
        <w:t>with</w:t>
      </w:r>
      <w:r w:rsidR="00914230">
        <w:t xml:space="preserve"> the agreement between </w:t>
      </w:r>
      <w:r w:rsidR="00E71E9F">
        <w:t>two TSOs. Based on the position of Accounting Point, Accounting Data for this Accounting Point is calculated.</w:t>
      </w:r>
      <w:r w:rsidR="00914230">
        <w:t xml:space="preserve"> </w:t>
      </w:r>
      <w:r w:rsidRPr="00C87891">
        <w:t xml:space="preserve">There must be only a single </w:t>
      </w:r>
      <w:r w:rsidR="00B5082A" w:rsidRPr="00C87891">
        <w:t>Accounting Point</w:t>
      </w:r>
      <w:r w:rsidRPr="00C87891">
        <w:t xml:space="preserve"> per </w:t>
      </w:r>
      <w:r w:rsidR="00B5082A" w:rsidRPr="00C87891">
        <w:t>Tie-Line</w:t>
      </w:r>
      <w:r w:rsidRPr="00C87891">
        <w:t xml:space="preserve">. </w:t>
      </w:r>
    </w:p>
    <w:p w14:paraId="2FA0BBCC" w14:textId="77777777" w:rsidR="00B83F25" w:rsidRPr="00C87891" w:rsidRDefault="00E97D5C" w:rsidP="003E0E00">
      <w:r w:rsidRPr="00C87891">
        <w:t xml:space="preserve">In case of a </w:t>
      </w:r>
      <w:r w:rsidR="00B5082A" w:rsidRPr="00C87891">
        <w:t>Virtual Tie-Line</w:t>
      </w:r>
      <w:r w:rsidR="0080135A" w:rsidRPr="00C87891">
        <w:t>,</w:t>
      </w:r>
      <w:r w:rsidRPr="00C87891">
        <w:t xml:space="preserve"> the </w:t>
      </w:r>
      <w:r w:rsidR="00B83F25" w:rsidRPr="00C87891">
        <w:t>location of</w:t>
      </w:r>
      <w:r w:rsidR="0080135A" w:rsidRPr="00C87891">
        <w:t xml:space="preserve"> the</w:t>
      </w:r>
      <w:r w:rsidR="00B83F25" w:rsidRPr="00C87891">
        <w:t xml:space="preserve"> </w:t>
      </w:r>
      <w:r w:rsidR="00B5082A" w:rsidRPr="00C87891">
        <w:t>Accounting Point</w:t>
      </w:r>
      <w:r w:rsidRPr="00C87891">
        <w:t xml:space="preserve"> is </w:t>
      </w:r>
      <w:r w:rsidR="00B83F25" w:rsidRPr="00C87891">
        <w:t>agreed bilaterally between adjacent TSOs</w:t>
      </w:r>
      <w:r w:rsidRPr="00C87891">
        <w:t xml:space="preserve">. </w:t>
      </w:r>
      <w:r w:rsidR="004D3CA6" w:rsidRPr="00C87891">
        <w:t>The</w:t>
      </w:r>
      <w:r w:rsidRPr="00C87891">
        <w:t xml:space="preserve"> power flows of the TSOs </w:t>
      </w:r>
      <w:r w:rsidR="004D3CA6" w:rsidRPr="00C87891">
        <w:t xml:space="preserve">can also be </w:t>
      </w:r>
      <w:r w:rsidRPr="00C87891">
        <w:t>based on values which are agreed</w:t>
      </w:r>
      <w:r w:rsidR="004D3CA6" w:rsidRPr="00C87891">
        <w:t xml:space="preserve"> upon</w:t>
      </w:r>
      <w:r w:rsidRPr="00C87891">
        <w:t xml:space="preserve"> between the involved TSOs and </w:t>
      </w:r>
      <w:r w:rsidR="004D3CA6" w:rsidRPr="00C87891">
        <w:t xml:space="preserve">are </w:t>
      </w:r>
      <w:r w:rsidRPr="00C87891">
        <w:t>cons</w:t>
      </w:r>
      <w:r w:rsidR="003E0E00" w:rsidRPr="00C87891">
        <w:t xml:space="preserve">idered </w:t>
      </w:r>
      <w:r w:rsidR="00673708" w:rsidRPr="00C87891">
        <w:t xml:space="preserve">in the </w:t>
      </w:r>
      <w:r w:rsidR="00B5082A" w:rsidRPr="00C87891">
        <w:t>Accounting Process</w:t>
      </w:r>
      <w:r w:rsidR="003E0E00" w:rsidRPr="00C87891">
        <w:t xml:space="preserve">. </w:t>
      </w:r>
    </w:p>
    <w:p w14:paraId="44514FEF" w14:textId="77777777" w:rsidR="00E97D5C" w:rsidRPr="00C87891" w:rsidRDefault="00075863" w:rsidP="00C26A7D">
      <w:pPr>
        <w:pStyle w:val="Heading3"/>
      </w:pPr>
      <w:bookmarkStart w:id="27" w:name="_Toc90297787"/>
      <w:r w:rsidRPr="00C87891">
        <w:t>Accounting Data</w:t>
      </w:r>
      <w:bookmarkEnd w:id="27"/>
    </w:p>
    <w:p w14:paraId="7E7460F5" w14:textId="373948B7" w:rsidR="00E97D5C" w:rsidRPr="00C87891" w:rsidRDefault="00E97D5C" w:rsidP="00956C1C">
      <w:r w:rsidRPr="00C87891">
        <w:t xml:space="preserve">Accounting Data </w:t>
      </w:r>
      <w:r w:rsidR="00914230">
        <w:t>for each Tie-Line</w:t>
      </w:r>
      <w:r w:rsidRPr="00C87891">
        <w:t xml:space="preserve"> is the result of an agreement between two TSOs</w:t>
      </w:r>
      <w:r w:rsidR="00B5082A" w:rsidRPr="00C87891">
        <w:t xml:space="preserve">. One TSO proposes the values using the </w:t>
      </w:r>
      <w:r w:rsidR="0032136B">
        <w:t xml:space="preserve">rules described in </w:t>
      </w:r>
      <w:r w:rsidR="0032136B">
        <w:fldChar w:fldCharType="begin"/>
      </w:r>
      <w:r w:rsidR="0032136B">
        <w:instrText xml:space="preserve"> REF _Ref57884817 \r \h </w:instrText>
      </w:r>
      <w:r w:rsidR="0032136B">
        <w:fldChar w:fldCharType="separate"/>
      </w:r>
      <w:r w:rsidR="009E7709">
        <w:t>C-5-2</w:t>
      </w:r>
      <w:r w:rsidR="0032136B">
        <w:fldChar w:fldCharType="end"/>
      </w:r>
      <w:r w:rsidR="00B5082A" w:rsidRPr="00C87891">
        <w:t>, and the second T</w:t>
      </w:r>
      <w:r w:rsidR="00086B6D" w:rsidRPr="00C87891">
        <w:t>SO confirms the proposed values</w:t>
      </w:r>
      <w:r w:rsidRPr="00C87891">
        <w:t>.</w:t>
      </w:r>
    </w:p>
    <w:p w14:paraId="51B88EBD" w14:textId="77777777" w:rsidR="00585CA5" w:rsidRPr="00C87891" w:rsidRDefault="004D3CA6" w:rsidP="00956C1C">
      <w:r w:rsidRPr="00C87891">
        <w:t xml:space="preserve">Accounting data is </w:t>
      </w:r>
      <w:r w:rsidR="00B5082A" w:rsidRPr="00C87891">
        <w:t>derived from validated metered data</w:t>
      </w:r>
      <w:r w:rsidRPr="00C87891">
        <w:t xml:space="preserve"> </w:t>
      </w:r>
      <w:r w:rsidR="00585CA5" w:rsidRPr="00C87891">
        <w:t>in one of the</w:t>
      </w:r>
      <w:r w:rsidRPr="00C87891">
        <w:t xml:space="preserve"> follow</w:t>
      </w:r>
      <w:r w:rsidR="00585CA5" w:rsidRPr="00C87891">
        <w:t>ing ways</w:t>
      </w:r>
      <w:r w:rsidR="00B5082A" w:rsidRPr="00C87891">
        <w:t xml:space="preserve"> (as agreed upon between TSOs sharing a Tie-Line)</w:t>
      </w:r>
      <w:r w:rsidRPr="00C87891">
        <w:t>:</w:t>
      </w:r>
    </w:p>
    <w:p w14:paraId="3048CCB1" w14:textId="77777777" w:rsidR="00585CA5" w:rsidRPr="00C87891" w:rsidRDefault="00E97D5C" w:rsidP="00E25898">
      <w:pPr>
        <w:pStyle w:val="ListParagraph"/>
        <w:numPr>
          <w:ilvl w:val="0"/>
          <w:numId w:val="46"/>
        </w:numPr>
      </w:pPr>
      <w:r w:rsidRPr="00C87891">
        <w:t>one to one copy of the meter me</w:t>
      </w:r>
      <w:r w:rsidR="003E0E00" w:rsidRPr="00C87891">
        <w:t>asurement data (located at the accounting p</w:t>
      </w:r>
      <w:r w:rsidRPr="00C87891">
        <w:t>oint)</w:t>
      </w:r>
      <w:r w:rsidR="00585CA5" w:rsidRPr="00C87891">
        <w:t>,</w:t>
      </w:r>
    </w:p>
    <w:p w14:paraId="73E16895" w14:textId="77777777" w:rsidR="00585CA5" w:rsidRPr="00C87891" w:rsidRDefault="00E97D5C" w:rsidP="00E25898">
      <w:pPr>
        <w:pStyle w:val="ListParagraph"/>
        <w:numPr>
          <w:ilvl w:val="0"/>
          <w:numId w:val="46"/>
        </w:numPr>
      </w:pPr>
      <w:r w:rsidRPr="00C87891">
        <w:t>a calculation using a given</w:t>
      </w:r>
      <w:r w:rsidR="004D3CA6" w:rsidRPr="00C87891">
        <w:t xml:space="preserve"> formula,</w:t>
      </w:r>
      <w:r w:rsidR="00B5082A" w:rsidRPr="00C87891">
        <w:t xml:space="preserve"> and </w:t>
      </w:r>
      <w:r w:rsidR="00585CA5" w:rsidRPr="00C87891">
        <w:t xml:space="preserve">either </w:t>
      </w:r>
      <w:r w:rsidRPr="00C87891">
        <w:t>one</w:t>
      </w:r>
      <w:r w:rsidR="00086DD9">
        <w:t xml:space="preserve"> or</w:t>
      </w:r>
      <w:r w:rsidRPr="00C87891">
        <w:t xml:space="preserve"> mor</w:t>
      </w:r>
      <w:r w:rsidR="00D52FB1" w:rsidRPr="00C87891">
        <w:t>e meter measurement data (e.g. i</w:t>
      </w:r>
      <w:r w:rsidRPr="00C87891">
        <w:t xml:space="preserve">n order to consider line losses). </w:t>
      </w:r>
    </w:p>
    <w:p w14:paraId="29760481" w14:textId="77777777" w:rsidR="00E97D5C" w:rsidRPr="00C87891" w:rsidRDefault="00E97D5C" w:rsidP="00585CA5">
      <w:r w:rsidRPr="00C87891">
        <w:t xml:space="preserve">Accounting data is considered as a value per </w:t>
      </w:r>
      <w:r w:rsidR="00B5082A" w:rsidRPr="00C87891">
        <w:t>Tie</w:t>
      </w:r>
      <w:r w:rsidR="003E0E00" w:rsidRPr="00C87891">
        <w:t>-</w:t>
      </w:r>
      <w:r w:rsidR="00B5082A" w:rsidRPr="00C87891">
        <w:t>Line</w:t>
      </w:r>
      <w:r w:rsidRPr="00C87891">
        <w:t>.</w:t>
      </w:r>
    </w:p>
    <w:p w14:paraId="2F97A3C1" w14:textId="688C8CB0" w:rsidR="003F0849" w:rsidRPr="00C87891" w:rsidRDefault="003F0849" w:rsidP="000268E7">
      <w:pPr>
        <w:widowControl w:val="0"/>
        <w:adjustRightInd w:val="0"/>
        <w:spacing w:after="60"/>
        <w:textAlignment w:val="baseline"/>
      </w:pPr>
      <w:r w:rsidRPr="00C87891">
        <w:t xml:space="preserve">Virtual </w:t>
      </w:r>
      <w:r w:rsidR="004D3CA6" w:rsidRPr="00C87891">
        <w:t>T</w:t>
      </w:r>
      <w:r w:rsidRPr="00C87891">
        <w:t>ie</w:t>
      </w:r>
      <w:r w:rsidR="00086B6D" w:rsidRPr="00C87891">
        <w:t>-L</w:t>
      </w:r>
      <w:r w:rsidRPr="00C87891">
        <w:t xml:space="preserve">ines are included in the </w:t>
      </w:r>
      <w:r w:rsidR="00086B6D" w:rsidRPr="00C87891">
        <w:t>Accounting Data</w:t>
      </w:r>
      <w:r w:rsidRPr="00C87891">
        <w:t xml:space="preserve"> </w:t>
      </w:r>
      <w:r w:rsidR="003E0E00" w:rsidRPr="00C87891">
        <w:t xml:space="preserve">and must be considered as </w:t>
      </w:r>
      <w:r w:rsidR="00D52FB1" w:rsidRPr="00C87891">
        <w:t xml:space="preserve">shown in </w:t>
      </w:r>
      <w:r w:rsidR="00D52FB1" w:rsidRPr="00C87891">
        <w:fldChar w:fldCharType="begin"/>
      </w:r>
      <w:r w:rsidR="00D52FB1" w:rsidRPr="00C87891">
        <w:instrText xml:space="preserve"> REF _Ref512260164 \h </w:instrText>
      </w:r>
      <w:r w:rsidR="00C87891">
        <w:instrText xml:space="preserve"> \* MERGEFORMAT </w:instrText>
      </w:r>
      <w:r w:rsidR="00D52FB1" w:rsidRPr="00C87891">
        <w:fldChar w:fldCharType="separate"/>
      </w:r>
      <w:r w:rsidR="009E7709" w:rsidRPr="00C87891">
        <w:t xml:space="preserve">Figure </w:t>
      </w:r>
      <w:r w:rsidR="009E7709">
        <w:rPr>
          <w:noProof/>
        </w:rPr>
        <w:t>1</w:t>
      </w:r>
      <w:r w:rsidR="00D52FB1" w:rsidRPr="00C87891">
        <w:fldChar w:fldCharType="end"/>
      </w:r>
      <w:r w:rsidR="003E0E00" w:rsidRPr="00C87891">
        <w:t>.</w:t>
      </w:r>
      <w:r w:rsidR="000268E7" w:rsidRPr="00C87891">
        <w:t xml:space="preserve"> </w:t>
      </w:r>
      <w:r w:rsidRPr="00C87891">
        <w:t xml:space="preserve">The physical energy exchange between LFC </w:t>
      </w:r>
      <w:r w:rsidR="00086B6D" w:rsidRPr="00C87891">
        <w:t>Area</w:t>
      </w:r>
      <w:r w:rsidRPr="00C87891">
        <w:t xml:space="preserve"> 1 an</w:t>
      </w:r>
      <w:r w:rsidR="00086B6D" w:rsidRPr="00C87891">
        <w:t>d LFC Area 2 is measured by M1+</w:t>
      </w:r>
      <w:r w:rsidRPr="00C87891">
        <w:t>M2 and includes the physical flow measured</w:t>
      </w:r>
      <w:r w:rsidR="00D52FB1" w:rsidRPr="00C87891">
        <w:t xml:space="preserve"> by M3. </w:t>
      </w:r>
      <w:r w:rsidR="009331A7" w:rsidRPr="00C87891">
        <w:t>The measurement M3 is used as an offset to the set-po</w:t>
      </w:r>
      <w:r w:rsidR="00CD3529" w:rsidRPr="00C87891">
        <w:t>i</w:t>
      </w:r>
      <w:r w:rsidR="00086B6D" w:rsidRPr="00C87891">
        <w:t xml:space="preserve">nt of the LFC </w:t>
      </w:r>
      <w:r w:rsidR="009331A7" w:rsidRPr="00C87891">
        <w:t xml:space="preserve">Controller. </w:t>
      </w:r>
      <w:r w:rsidR="00AD5F99" w:rsidRPr="00C87891">
        <w:t>Additionally,</w:t>
      </w:r>
      <w:r w:rsidR="009331A7" w:rsidRPr="00C87891">
        <w:t xml:space="preserve"> it must be subtracted from the </w:t>
      </w:r>
      <w:r w:rsidR="00086B6D" w:rsidRPr="00C87891">
        <w:t>Accounting Data</w:t>
      </w:r>
      <w:r w:rsidR="009331A7" w:rsidRPr="00C87891">
        <w:t xml:space="preserve"> for accounting.</w:t>
      </w:r>
    </w:p>
    <w:p w14:paraId="6771E340" w14:textId="77777777" w:rsidR="00150FBE" w:rsidRPr="00C87891" w:rsidRDefault="00150FBE" w:rsidP="000268E7">
      <w:pPr>
        <w:widowControl w:val="0"/>
        <w:adjustRightInd w:val="0"/>
        <w:spacing w:after="60"/>
        <w:textAlignment w:val="baseline"/>
      </w:pPr>
    </w:p>
    <w:p w14:paraId="1727FAAD" w14:textId="77777777" w:rsidR="003F0849" w:rsidRPr="00C87891" w:rsidRDefault="00552E3B" w:rsidP="003F0849">
      <w:r w:rsidRPr="00C87891">
        <w:rPr>
          <w:noProof/>
          <w:lang w:val="de-DE" w:eastAsia="de-DE"/>
        </w:rPr>
        <w:drawing>
          <wp:inline distT="0" distB="0" distL="0" distR="0" wp14:anchorId="61377A9C" wp14:editId="2867ACBB">
            <wp:extent cx="5783032" cy="2241550"/>
            <wp:effectExtent l="0" t="0" r="825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3032" cy="2241550"/>
                    </a:xfrm>
                    <a:prstGeom prst="rect">
                      <a:avLst/>
                    </a:prstGeom>
                    <a:noFill/>
                    <a:ln>
                      <a:noFill/>
                    </a:ln>
                  </pic:spPr>
                </pic:pic>
              </a:graphicData>
            </a:graphic>
          </wp:inline>
        </w:drawing>
      </w:r>
    </w:p>
    <w:p w14:paraId="73C86BF4" w14:textId="07C59867" w:rsidR="003F0849" w:rsidRPr="00C87891" w:rsidRDefault="000268E7" w:rsidP="000268E7">
      <w:pPr>
        <w:pStyle w:val="Caption"/>
      </w:pPr>
      <w:bookmarkStart w:id="28" w:name="_Ref512260164"/>
      <w:r w:rsidRPr="00C87891">
        <w:t xml:space="preserve">Figure </w:t>
      </w:r>
      <w:r w:rsidRPr="00C87891">
        <w:fldChar w:fldCharType="begin"/>
      </w:r>
      <w:r w:rsidRPr="00C87891">
        <w:instrText xml:space="preserve"> SEQ Figure \* ARABIC </w:instrText>
      </w:r>
      <w:r w:rsidRPr="00C87891">
        <w:fldChar w:fldCharType="separate"/>
      </w:r>
      <w:r w:rsidR="009E7709">
        <w:rPr>
          <w:noProof/>
        </w:rPr>
        <w:t>1</w:t>
      </w:r>
      <w:r w:rsidRPr="00C87891">
        <w:fldChar w:fldCharType="end"/>
      </w:r>
      <w:bookmarkEnd w:id="28"/>
      <w:r w:rsidRPr="00C87891">
        <w:t xml:space="preserve">: </w:t>
      </w:r>
      <w:r w:rsidR="003F0849" w:rsidRPr="00C87891">
        <w:t xml:space="preserve">The consideration of </w:t>
      </w:r>
      <w:r w:rsidRPr="00C87891">
        <w:t>virtual tie-line</w:t>
      </w:r>
      <w:r w:rsidR="003F0849" w:rsidRPr="00C87891">
        <w:t xml:space="preserve"> </w:t>
      </w:r>
    </w:p>
    <w:p w14:paraId="6AE256D1" w14:textId="77777777" w:rsidR="00E97D5C" w:rsidRPr="00C87891" w:rsidRDefault="00075863" w:rsidP="00C26A7D">
      <w:pPr>
        <w:pStyle w:val="Heading3"/>
      </w:pPr>
      <w:bookmarkStart w:id="29" w:name="_Ref196724964"/>
      <w:bookmarkStart w:id="30" w:name="_Toc90297788"/>
      <w:r w:rsidRPr="00C87891">
        <w:t>Working day</w:t>
      </w:r>
      <w:bookmarkEnd w:id="30"/>
    </w:p>
    <w:p w14:paraId="387D8DEF" w14:textId="59A2ECE5" w:rsidR="00C672B1" w:rsidRDefault="00E97D5C" w:rsidP="00420BC0">
      <w:r w:rsidRPr="00C87891">
        <w:t>The Working Day is the calendar day except Saturday</w:t>
      </w:r>
      <w:r w:rsidR="00585CA5" w:rsidRPr="00C87891">
        <w:t>s</w:t>
      </w:r>
      <w:r w:rsidRPr="00C87891">
        <w:t>, Sunday</w:t>
      </w:r>
      <w:r w:rsidR="00585CA5" w:rsidRPr="00C87891">
        <w:t>s</w:t>
      </w:r>
      <w:r w:rsidRPr="00C87891">
        <w:t xml:space="preserve"> and 4 holidays: Christmas </w:t>
      </w:r>
      <w:r w:rsidR="004D3CA6" w:rsidRPr="00C87891">
        <w:t>day (</w:t>
      </w:r>
      <w:r w:rsidRPr="00C87891">
        <w:t>25</w:t>
      </w:r>
      <w:r w:rsidRPr="00C87891">
        <w:rPr>
          <w:vertAlign w:val="superscript"/>
        </w:rPr>
        <w:t>th</w:t>
      </w:r>
      <w:r w:rsidRPr="00C87891">
        <w:t xml:space="preserve"> </w:t>
      </w:r>
      <w:r w:rsidR="004D3CA6" w:rsidRPr="00C87891">
        <w:t xml:space="preserve">of </w:t>
      </w:r>
      <w:r w:rsidRPr="00C87891">
        <w:t>December</w:t>
      </w:r>
      <w:r w:rsidR="004D3CA6" w:rsidRPr="00C87891">
        <w:t>)</w:t>
      </w:r>
      <w:r w:rsidRPr="00C87891">
        <w:t>, New Year</w:t>
      </w:r>
      <w:r w:rsidR="004D3CA6" w:rsidRPr="00C87891">
        <w:t>’s day (1</w:t>
      </w:r>
      <w:r w:rsidR="004D3CA6" w:rsidRPr="00C87891">
        <w:rPr>
          <w:vertAlign w:val="superscript"/>
        </w:rPr>
        <w:t>st</w:t>
      </w:r>
      <w:r w:rsidR="004D3CA6" w:rsidRPr="00C87891">
        <w:t xml:space="preserve"> of January)</w:t>
      </w:r>
      <w:r w:rsidRPr="00C87891">
        <w:t>, Easter Monday and Ascension</w:t>
      </w:r>
      <w:r w:rsidR="004D3CA6" w:rsidRPr="00C87891">
        <w:t xml:space="preserve"> </w:t>
      </w:r>
      <w:r w:rsidR="00086B6D" w:rsidRPr="00C87891">
        <w:t>D</w:t>
      </w:r>
      <w:r w:rsidR="004D3CA6" w:rsidRPr="00C87891">
        <w:t>ay</w:t>
      </w:r>
      <w:r w:rsidRPr="00C87891">
        <w:t>.</w:t>
      </w:r>
      <w:bookmarkEnd w:id="29"/>
      <w:r w:rsidRPr="00C87891">
        <w:t xml:space="preserve"> </w:t>
      </w:r>
    </w:p>
    <w:p w14:paraId="359F7482" w14:textId="23F3F51D" w:rsidR="00E43FE3" w:rsidRDefault="00E43FE3" w:rsidP="00E43FE3">
      <w:pPr>
        <w:pStyle w:val="Heading3"/>
      </w:pPr>
      <w:bookmarkStart w:id="31" w:name="_Toc90297789"/>
      <w:r>
        <w:t>Financial settlement</w:t>
      </w:r>
      <w:bookmarkEnd w:id="31"/>
    </w:p>
    <w:p w14:paraId="22E8FA19" w14:textId="3F6F5B8A" w:rsidR="00E43FE3" w:rsidRPr="00E43FE3" w:rsidRDefault="00E43FE3" w:rsidP="004301C4">
      <w:r>
        <w:t>Process established among RG CE TSOs in order to financially compensate the intended exchanges of energy resulting from the frequency containment process and ramping periods, as well as unintended exchanges of energy. The process is the scope of this Policy on Accounting and Settlement.</w:t>
      </w:r>
    </w:p>
    <w:p w14:paraId="43BAD0DB" w14:textId="25CFD61C" w:rsidR="00C672B1" w:rsidRDefault="00C672B1" w:rsidP="00C32158">
      <w:pPr>
        <w:pStyle w:val="Heading3"/>
      </w:pPr>
      <w:bookmarkStart w:id="32" w:name="_Toc90297790"/>
      <w:r>
        <w:t>TSO-TSO Settlement Period</w:t>
      </w:r>
      <w:bookmarkEnd w:id="32"/>
    </w:p>
    <w:p w14:paraId="0C71FCCC" w14:textId="0C419B5F" w:rsidR="00C672B1" w:rsidRDefault="00C672B1">
      <w:r>
        <w:t xml:space="preserve">The TSO-TSO Settlement Period is the resolution or time period for which the Settlement Process is performed. The TSO-TSO Settlement Period corresponds to 15 min. </w:t>
      </w:r>
    </w:p>
    <w:p w14:paraId="0BFBDB2E" w14:textId="77777777" w:rsidR="00C672B1" w:rsidRDefault="00C672B1" w:rsidP="00B21E31">
      <w:pPr>
        <w:pStyle w:val="Heading3"/>
      </w:pPr>
      <w:bookmarkStart w:id="33" w:name="_Toc90297791"/>
      <w:r>
        <w:t>Settlement Price</w:t>
      </w:r>
      <w:bookmarkEnd w:id="33"/>
    </w:p>
    <w:p w14:paraId="5D0A3A4A" w14:textId="17F94823" w:rsidR="00FE25AF" w:rsidRDefault="00C672B1" w:rsidP="00AD04F9">
      <w:r>
        <w:t xml:space="preserve">The Settlement Price is the price for </w:t>
      </w:r>
      <w:r w:rsidR="00733E54">
        <w:t>E</w:t>
      </w:r>
      <w:r w:rsidR="00733E54" w:rsidRPr="0032136B">
        <w:rPr>
          <w:vertAlign w:val="subscript"/>
        </w:rPr>
        <w:t>RP</w:t>
      </w:r>
      <w:r w:rsidR="00733E54">
        <w:t xml:space="preserve">, </w:t>
      </w:r>
      <w:r>
        <w:t xml:space="preserve">FCP Energy and UE used for settling financially the volumes of </w:t>
      </w:r>
      <w:r w:rsidR="00733E54">
        <w:t>E</w:t>
      </w:r>
      <w:r w:rsidR="00733E54" w:rsidRPr="0032136B">
        <w:rPr>
          <w:vertAlign w:val="subscript"/>
        </w:rPr>
        <w:t>RP</w:t>
      </w:r>
      <w:r w:rsidR="00733E54">
        <w:t xml:space="preserve">, </w:t>
      </w:r>
      <w:r>
        <w:t>FCP Energy and UE for each TSO</w:t>
      </w:r>
      <w:r w:rsidR="0037032E">
        <w:t>-TSO settlement period</w:t>
      </w:r>
      <w:r>
        <w:t xml:space="preserve">. </w:t>
      </w:r>
      <w:r w:rsidR="00C161F6">
        <w:t>This is an uniform price for the Synchronous Area with the only exception of the FCP Energy and UE between two LFC Area connected only by HVDC cable for which the price may be different.</w:t>
      </w:r>
    </w:p>
    <w:p w14:paraId="130B9F41" w14:textId="56AF6B65" w:rsidR="00733E54" w:rsidRDefault="00733E54" w:rsidP="00265F08">
      <w:pPr>
        <w:jc w:val="left"/>
      </w:pPr>
      <w:r>
        <w:t>The Settlement Price of E</w:t>
      </w:r>
      <w:r w:rsidRPr="0032136B">
        <w:rPr>
          <w:vertAlign w:val="subscript"/>
        </w:rPr>
        <w:t>RP</w:t>
      </w:r>
      <w:r>
        <w:rPr>
          <w:vertAlign w:val="subscript"/>
        </w:rPr>
        <w:t xml:space="preserve"> </w:t>
      </w:r>
      <w:r w:rsidRPr="0032136B">
        <w:t>is 0€/M</w:t>
      </w:r>
      <w:r w:rsidR="0037032E">
        <w:t>W</w:t>
      </w:r>
      <w:r w:rsidRPr="0032136B">
        <w:t>h</w:t>
      </w:r>
      <w:r>
        <w:t>.</w:t>
      </w:r>
    </w:p>
    <w:p w14:paraId="6C6B1C6B" w14:textId="1E8D01E2" w:rsidR="00FE25AF" w:rsidRDefault="00FE25AF" w:rsidP="00B21E31">
      <w:pPr>
        <w:pStyle w:val="Heading3"/>
      </w:pPr>
      <w:bookmarkStart w:id="34" w:name="_Toc90297792"/>
      <w:r>
        <w:t>Settlement Result</w:t>
      </w:r>
      <w:r w:rsidR="00BE64F2">
        <w:t>s</w:t>
      </w:r>
      <w:bookmarkEnd w:id="34"/>
    </w:p>
    <w:p w14:paraId="1866CBA8" w14:textId="117CB55D" w:rsidR="00C672B1" w:rsidRPr="00C672B1" w:rsidRDefault="00FE25AF" w:rsidP="00C672B1">
      <w:r>
        <w:t>The Settlement Result</w:t>
      </w:r>
      <w:r w:rsidR="00BE64F2">
        <w:t xml:space="preserve">s consist of </w:t>
      </w:r>
      <w:r>
        <w:t>volumes, prices and monetary values</w:t>
      </w:r>
      <w:r w:rsidR="00BE64F2">
        <w:t xml:space="preserve"> (equivalent to the multiplication of volumes and corresponding prices) for each of </w:t>
      </w:r>
      <m:oMath>
        <m:sSub>
          <m:sSubPr>
            <m:ctrlPr>
              <w:rPr>
                <w:rFonts w:ascii="Cambria Math" w:hAnsi="Cambria Math"/>
                <w:i/>
              </w:rPr>
            </m:ctrlPr>
          </m:sSubPr>
          <m:e>
            <m:r>
              <w:rPr>
                <w:rFonts w:ascii="Cambria Math" w:hAnsi="Cambria Math"/>
              </w:rPr>
              <m:t>E</m:t>
            </m:r>
          </m:e>
          <m:sub>
            <m:r>
              <w:rPr>
                <w:rFonts w:ascii="Cambria Math" w:hAnsi="Cambria Math"/>
              </w:rPr>
              <m:t>FCP</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RP</m:t>
            </m:r>
          </m:sub>
        </m:sSub>
      </m:oMath>
      <w:r w:rsidR="00BE64F2">
        <w:t xml:space="preserve"> and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ue</m:t>
            </m:r>
          </m:sub>
        </m:sSub>
      </m:oMath>
      <w:r>
        <w:t>.</w:t>
      </w:r>
    </w:p>
    <w:p w14:paraId="0F155D9E" w14:textId="20EF91A6" w:rsidR="000E08B9" w:rsidRDefault="000E08B9" w:rsidP="00632FF6">
      <w:pPr>
        <w:pStyle w:val="Heading3"/>
      </w:pPr>
      <w:bookmarkStart w:id="35" w:name="_Toc90297793"/>
      <w:r>
        <w:t>Settlement Reports</w:t>
      </w:r>
      <w:bookmarkEnd w:id="35"/>
    </w:p>
    <w:p w14:paraId="433DB273" w14:textId="59898D58" w:rsidR="000E08B9" w:rsidRDefault="000E08B9" w:rsidP="000E08B9">
      <w:r>
        <w:t xml:space="preserve">The results of the accounting and </w:t>
      </w:r>
      <w:r w:rsidRPr="00E46554">
        <w:t xml:space="preserve">settlement </w:t>
      </w:r>
      <w:r>
        <w:t xml:space="preserve">processes are summarized into three different reports, which are sent by the </w:t>
      </w:r>
      <w:r w:rsidR="002E2691">
        <w:t>Coordination</w:t>
      </w:r>
      <w:r w:rsidR="008D666C">
        <w:t xml:space="preserve"> Centre</w:t>
      </w:r>
      <w:r>
        <w:t>s</w:t>
      </w:r>
      <w:r w:rsidR="002D5DA3">
        <w:t xml:space="preserve"> (CCs)</w:t>
      </w:r>
      <w:r>
        <w:t xml:space="preserve"> to the TSOs. These reports are the Daily Settlement Report (DSR), the Daily Settlement Prices Report (DSPR) and the Monthly Settlement </w:t>
      </w:r>
      <w:r w:rsidR="0088085A">
        <w:t>Report</w:t>
      </w:r>
      <w:r>
        <w:t xml:space="preserve">(MSR). </w:t>
      </w:r>
      <w:r w:rsidR="00A21E40">
        <w:t>The following table</w:t>
      </w:r>
      <w:r w:rsidRPr="00632FF6">
        <w:rPr>
          <w:color w:val="FF0000"/>
        </w:rPr>
        <w:t xml:space="preserve"> </w:t>
      </w:r>
      <w:r>
        <w:t xml:space="preserve">gives an overview about the contents of the individual reports. </w:t>
      </w:r>
    </w:p>
    <w:p w14:paraId="039DA309" w14:textId="23B2046F" w:rsidR="00217FC9" w:rsidRDefault="00217FC9" w:rsidP="00217FC9">
      <w:pPr>
        <w:pStyle w:val="Caption"/>
      </w:pPr>
      <w:r>
        <w:t xml:space="preserve">Table </w:t>
      </w:r>
      <w:r>
        <w:fldChar w:fldCharType="begin"/>
      </w:r>
      <w:r>
        <w:instrText xml:space="preserve"> SEQ Table \* ARABIC </w:instrText>
      </w:r>
      <w:r>
        <w:fldChar w:fldCharType="separate"/>
      </w:r>
      <w:r w:rsidR="009E7709">
        <w:rPr>
          <w:noProof/>
        </w:rPr>
        <w:t>1</w:t>
      </w:r>
      <w:r>
        <w:fldChar w:fldCharType="end"/>
      </w:r>
      <w:r>
        <w:t>: Content of the settlement reports</w:t>
      </w:r>
    </w:p>
    <w:tbl>
      <w:tblPr>
        <w:tblW w:w="9543" w:type="dxa"/>
        <w:jc w:val="center"/>
        <w:tblCellMar>
          <w:left w:w="70" w:type="dxa"/>
          <w:right w:w="70" w:type="dxa"/>
        </w:tblCellMar>
        <w:tblLook w:val="04A0" w:firstRow="1" w:lastRow="0" w:firstColumn="1" w:lastColumn="0" w:noHBand="0" w:noVBand="1"/>
      </w:tblPr>
      <w:tblGrid>
        <w:gridCol w:w="4983"/>
        <w:gridCol w:w="1520"/>
        <w:gridCol w:w="1520"/>
        <w:gridCol w:w="1520"/>
      </w:tblGrid>
      <w:tr w:rsidR="00DC065A" w:rsidRPr="00DC065A" w14:paraId="6551AEA4" w14:textId="77777777" w:rsidTr="00263072">
        <w:trPr>
          <w:jc w:val="center"/>
        </w:trPr>
        <w:tc>
          <w:tcPr>
            <w:tcW w:w="4983" w:type="dxa"/>
            <w:tcBorders>
              <w:top w:val="single" w:sz="8" w:space="0" w:color="auto"/>
              <w:left w:val="single" w:sz="8" w:space="0" w:color="auto"/>
              <w:bottom w:val="nil"/>
              <w:right w:val="single" w:sz="4" w:space="0" w:color="auto"/>
            </w:tcBorders>
            <w:shd w:val="clear" w:color="auto" w:fill="auto"/>
            <w:noWrap/>
            <w:hideMark/>
          </w:tcPr>
          <w:p w14:paraId="0B59D20C" w14:textId="77777777" w:rsidR="00DC065A" w:rsidRPr="00632FF6" w:rsidRDefault="00DC065A" w:rsidP="00DC065A">
            <w:pPr>
              <w:spacing w:after="0" w:line="240" w:lineRule="auto"/>
              <w:jc w:val="left"/>
              <w:rPr>
                <w:rFonts w:ascii="Calibri" w:eastAsia="Times New Roman" w:hAnsi="Calibri" w:cs="Calibri"/>
                <w:color w:val="000000"/>
                <w:lang w:eastAsia="de-DE"/>
              </w:rPr>
            </w:pPr>
            <w:r w:rsidRPr="00632FF6">
              <w:rPr>
                <w:rFonts w:ascii="Calibri" w:eastAsia="Times New Roman" w:hAnsi="Calibri" w:cs="Calibri"/>
                <w:color w:val="000000"/>
                <w:lang w:eastAsia="de-DE"/>
              </w:rPr>
              <w:t> </w:t>
            </w:r>
          </w:p>
        </w:tc>
        <w:tc>
          <w:tcPr>
            <w:tcW w:w="1520" w:type="dxa"/>
            <w:tcBorders>
              <w:top w:val="single" w:sz="8" w:space="0" w:color="auto"/>
              <w:left w:val="nil"/>
              <w:bottom w:val="nil"/>
              <w:right w:val="single" w:sz="4" w:space="0" w:color="auto"/>
            </w:tcBorders>
            <w:shd w:val="clear" w:color="auto" w:fill="auto"/>
            <w:hideMark/>
          </w:tcPr>
          <w:p w14:paraId="0FDBD65A" w14:textId="77777777" w:rsidR="00DC065A" w:rsidRPr="00632FF6" w:rsidRDefault="00DC065A" w:rsidP="00DC065A">
            <w:pPr>
              <w:spacing w:after="0" w:line="240" w:lineRule="auto"/>
              <w:jc w:val="left"/>
              <w:rPr>
                <w:rFonts w:ascii="Arial" w:eastAsia="Times New Roman" w:hAnsi="Arial" w:cs="Arial"/>
                <w:b/>
                <w:bCs/>
                <w:color w:val="000000"/>
                <w:lang w:eastAsia="de-DE"/>
              </w:rPr>
            </w:pPr>
            <w:r w:rsidRPr="00632FF6">
              <w:rPr>
                <w:rFonts w:ascii="Arial" w:eastAsia="Times New Roman" w:hAnsi="Arial" w:cs="Arial"/>
                <w:b/>
                <w:bCs/>
                <w:color w:val="000000"/>
                <w:lang w:eastAsia="de-DE"/>
              </w:rPr>
              <w:t>Daily Settlement Report (DSR)</w:t>
            </w:r>
          </w:p>
        </w:tc>
        <w:tc>
          <w:tcPr>
            <w:tcW w:w="1520" w:type="dxa"/>
            <w:tcBorders>
              <w:top w:val="single" w:sz="8" w:space="0" w:color="auto"/>
              <w:left w:val="nil"/>
              <w:bottom w:val="nil"/>
              <w:right w:val="single" w:sz="4" w:space="0" w:color="auto"/>
            </w:tcBorders>
            <w:shd w:val="clear" w:color="auto" w:fill="auto"/>
            <w:hideMark/>
          </w:tcPr>
          <w:p w14:paraId="7FBAF2D0" w14:textId="77777777" w:rsidR="00DC065A" w:rsidRPr="00632FF6" w:rsidRDefault="00DC065A" w:rsidP="00DC065A">
            <w:pPr>
              <w:spacing w:after="0" w:line="240" w:lineRule="auto"/>
              <w:jc w:val="left"/>
              <w:rPr>
                <w:rFonts w:ascii="Arial" w:eastAsia="Times New Roman" w:hAnsi="Arial" w:cs="Arial"/>
                <w:b/>
                <w:bCs/>
                <w:color w:val="000000"/>
                <w:lang w:eastAsia="de-DE"/>
              </w:rPr>
            </w:pPr>
            <w:r w:rsidRPr="00632FF6">
              <w:rPr>
                <w:rFonts w:ascii="Arial" w:eastAsia="Times New Roman" w:hAnsi="Arial" w:cs="Arial"/>
                <w:b/>
                <w:bCs/>
                <w:color w:val="000000"/>
                <w:lang w:eastAsia="de-DE"/>
              </w:rPr>
              <w:t>Daily Settlement Prices Report (DSPR)</w:t>
            </w:r>
          </w:p>
        </w:tc>
        <w:tc>
          <w:tcPr>
            <w:tcW w:w="1520" w:type="dxa"/>
            <w:tcBorders>
              <w:top w:val="single" w:sz="8" w:space="0" w:color="auto"/>
              <w:left w:val="nil"/>
              <w:bottom w:val="nil"/>
              <w:right w:val="single" w:sz="8" w:space="0" w:color="auto"/>
            </w:tcBorders>
            <w:shd w:val="clear" w:color="auto" w:fill="auto"/>
            <w:hideMark/>
          </w:tcPr>
          <w:p w14:paraId="420217A3" w14:textId="77777777" w:rsidR="00DC065A" w:rsidRPr="00632FF6" w:rsidRDefault="00DC065A" w:rsidP="00DC065A">
            <w:pPr>
              <w:spacing w:after="0" w:line="240" w:lineRule="auto"/>
              <w:jc w:val="left"/>
              <w:rPr>
                <w:rFonts w:ascii="Arial" w:eastAsia="Times New Roman" w:hAnsi="Arial" w:cs="Arial"/>
                <w:b/>
                <w:bCs/>
                <w:color w:val="000000"/>
                <w:lang w:eastAsia="de-DE"/>
              </w:rPr>
            </w:pPr>
            <w:r w:rsidRPr="00632FF6">
              <w:rPr>
                <w:rFonts w:ascii="Arial" w:eastAsia="Times New Roman" w:hAnsi="Arial" w:cs="Arial"/>
                <w:b/>
                <w:bCs/>
                <w:color w:val="000000"/>
                <w:lang w:eastAsia="de-DE"/>
              </w:rPr>
              <w:t>Monthly Settlement Report (MSR)</w:t>
            </w:r>
          </w:p>
        </w:tc>
      </w:tr>
      <w:tr w:rsidR="00DC065A" w:rsidRPr="00DC065A" w14:paraId="53912C52" w14:textId="77777777" w:rsidTr="00263072">
        <w:trPr>
          <w:jc w:val="center"/>
        </w:trPr>
        <w:tc>
          <w:tcPr>
            <w:tcW w:w="4983" w:type="dxa"/>
            <w:tcBorders>
              <w:top w:val="single" w:sz="4" w:space="0" w:color="auto"/>
              <w:left w:val="single" w:sz="8" w:space="0" w:color="auto"/>
              <w:bottom w:val="single" w:sz="8" w:space="0" w:color="auto"/>
              <w:right w:val="single" w:sz="4" w:space="0" w:color="auto"/>
            </w:tcBorders>
            <w:shd w:val="clear" w:color="auto" w:fill="auto"/>
            <w:noWrap/>
            <w:hideMark/>
          </w:tcPr>
          <w:p w14:paraId="09A5AF09" w14:textId="77777777"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Timeframe:</w:t>
            </w:r>
          </w:p>
        </w:tc>
        <w:tc>
          <w:tcPr>
            <w:tcW w:w="1520" w:type="dxa"/>
            <w:tcBorders>
              <w:top w:val="single" w:sz="4" w:space="0" w:color="auto"/>
              <w:left w:val="nil"/>
              <w:bottom w:val="single" w:sz="8" w:space="0" w:color="auto"/>
              <w:right w:val="single" w:sz="4" w:space="0" w:color="auto"/>
            </w:tcBorders>
            <w:shd w:val="clear" w:color="auto" w:fill="auto"/>
            <w:noWrap/>
            <w:hideMark/>
          </w:tcPr>
          <w:p w14:paraId="34389D80" w14:textId="77777777"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1 day</w:t>
            </w:r>
          </w:p>
        </w:tc>
        <w:tc>
          <w:tcPr>
            <w:tcW w:w="1520" w:type="dxa"/>
            <w:tcBorders>
              <w:top w:val="single" w:sz="4" w:space="0" w:color="auto"/>
              <w:left w:val="nil"/>
              <w:bottom w:val="single" w:sz="8" w:space="0" w:color="auto"/>
              <w:right w:val="single" w:sz="4" w:space="0" w:color="auto"/>
            </w:tcBorders>
            <w:shd w:val="clear" w:color="auto" w:fill="auto"/>
            <w:noWrap/>
            <w:hideMark/>
          </w:tcPr>
          <w:p w14:paraId="7AFEF7EF" w14:textId="77777777"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1 day</w:t>
            </w:r>
          </w:p>
        </w:tc>
        <w:tc>
          <w:tcPr>
            <w:tcW w:w="1520" w:type="dxa"/>
            <w:tcBorders>
              <w:top w:val="single" w:sz="4" w:space="0" w:color="auto"/>
              <w:left w:val="nil"/>
              <w:bottom w:val="single" w:sz="8" w:space="0" w:color="auto"/>
              <w:right w:val="single" w:sz="8" w:space="0" w:color="auto"/>
            </w:tcBorders>
            <w:shd w:val="clear" w:color="auto" w:fill="auto"/>
            <w:noWrap/>
            <w:hideMark/>
          </w:tcPr>
          <w:p w14:paraId="227A941F" w14:textId="77777777"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1 month</w:t>
            </w:r>
          </w:p>
        </w:tc>
      </w:tr>
      <w:tr w:rsidR="002C70EF" w:rsidRPr="00DC065A" w14:paraId="245AB885" w14:textId="77777777" w:rsidTr="00263072">
        <w:trPr>
          <w:jc w:val="center"/>
        </w:trPr>
        <w:tc>
          <w:tcPr>
            <w:tcW w:w="4983" w:type="dxa"/>
            <w:tcBorders>
              <w:top w:val="nil"/>
              <w:left w:val="single" w:sz="8" w:space="0" w:color="auto"/>
              <w:bottom w:val="nil"/>
              <w:right w:val="single" w:sz="4" w:space="0" w:color="auto"/>
            </w:tcBorders>
            <w:shd w:val="clear" w:color="auto" w:fill="auto"/>
            <w:hideMark/>
          </w:tcPr>
          <w:p w14:paraId="035E3570" w14:textId="165F6204"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 xml:space="preserve">Scheduled energy exchanges (ANES) </w:t>
            </w:r>
            <w:r w:rsidR="00DC31AF">
              <w:rPr>
                <w:rStyle w:val="FootnoteReference"/>
                <w:rFonts w:ascii="Arial" w:eastAsia="Times New Roman" w:hAnsi="Arial" w:cs="Arial"/>
                <w:color w:val="000000"/>
                <w:lang w:eastAsia="de-DE"/>
              </w:rPr>
              <w:footnoteReference w:id="2"/>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hideMark/>
          </w:tcPr>
          <w:p w14:paraId="5034AF87"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hideMark/>
          </w:tcPr>
          <w:p w14:paraId="103E9D78"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8" w:space="0" w:color="auto"/>
            </w:tcBorders>
            <w:shd w:val="clear" w:color="auto" w:fill="auto"/>
            <w:noWrap/>
            <w:hideMark/>
          </w:tcPr>
          <w:p w14:paraId="4D2BCCC0"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r>
      <w:tr w:rsidR="002C70EF" w:rsidRPr="00DC065A" w14:paraId="71594F97" w14:textId="77777777" w:rsidTr="00263072">
        <w:trPr>
          <w:jc w:val="center"/>
        </w:trPr>
        <w:tc>
          <w:tcPr>
            <w:tcW w:w="4983" w:type="dxa"/>
            <w:tcBorders>
              <w:top w:val="nil"/>
              <w:left w:val="single" w:sz="8" w:space="0" w:color="auto"/>
              <w:bottom w:val="nil"/>
              <w:right w:val="single" w:sz="4" w:space="0" w:color="auto"/>
            </w:tcBorders>
            <w:shd w:val="clear" w:color="auto" w:fill="auto"/>
            <w:hideMark/>
          </w:tcPr>
          <w:p w14:paraId="043A43AA" w14:textId="301E3D51" w:rsidR="00DC065A" w:rsidRPr="00632FF6" w:rsidRDefault="00DC065A" w:rsidP="00DC065A">
            <w:pPr>
              <w:spacing w:after="0" w:line="240" w:lineRule="auto"/>
              <w:jc w:val="left"/>
              <w:rPr>
                <w:rFonts w:ascii="Arial" w:eastAsia="Times New Roman" w:hAnsi="Arial" w:cs="Arial"/>
                <w:color w:val="000000"/>
                <w:lang w:eastAsia="de-DE"/>
              </w:rPr>
            </w:pPr>
            <w:r w:rsidRPr="00E010D3">
              <w:rPr>
                <w:rFonts w:ascii="Arial" w:eastAsia="Times New Roman" w:hAnsi="Arial" w:cs="Arial"/>
                <w:color w:val="000000"/>
                <w:lang w:eastAsia="de-DE"/>
              </w:rPr>
              <w:t>Inte</w:t>
            </w:r>
            <w:r w:rsidRPr="00632FF6">
              <w:rPr>
                <w:rFonts w:ascii="Arial" w:eastAsia="Times New Roman" w:hAnsi="Arial" w:cs="Arial"/>
                <w:color w:val="000000"/>
                <w:lang w:eastAsia="de-DE"/>
              </w:rPr>
              <w:t>nded Exchanges (Virtual Tie-Lines)</w:t>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hideMark/>
          </w:tcPr>
          <w:p w14:paraId="4A4277F2"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hideMark/>
          </w:tcPr>
          <w:p w14:paraId="730058AD"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8" w:space="0" w:color="auto"/>
            </w:tcBorders>
            <w:shd w:val="clear" w:color="auto" w:fill="auto"/>
            <w:noWrap/>
            <w:hideMark/>
          </w:tcPr>
          <w:p w14:paraId="6F56D5E9"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r>
      <w:tr w:rsidR="002C70EF" w:rsidRPr="00DC065A" w14:paraId="351EC1CB" w14:textId="77777777" w:rsidTr="00263072">
        <w:trPr>
          <w:jc w:val="center"/>
        </w:trPr>
        <w:tc>
          <w:tcPr>
            <w:tcW w:w="4983" w:type="dxa"/>
            <w:tcBorders>
              <w:top w:val="nil"/>
              <w:left w:val="single" w:sz="8" w:space="0" w:color="auto"/>
              <w:bottom w:val="nil"/>
              <w:right w:val="single" w:sz="4" w:space="0" w:color="auto"/>
            </w:tcBorders>
            <w:shd w:val="clear" w:color="auto" w:fill="auto"/>
            <w:noWrap/>
            <w:hideMark/>
          </w:tcPr>
          <w:p w14:paraId="0A4F4F1E" w14:textId="39A12B4B" w:rsidR="00DC065A" w:rsidRPr="00632FF6" w:rsidRDefault="007B0F44" w:rsidP="00DC065A">
            <w:pPr>
              <w:spacing w:after="0" w:line="240" w:lineRule="auto"/>
              <w:jc w:val="left"/>
              <w:rPr>
                <w:rFonts w:ascii="Arial" w:eastAsia="Times New Roman" w:hAnsi="Arial" w:cs="Arial"/>
                <w:color w:val="000000"/>
                <w:lang w:eastAsia="de-DE"/>
              </w:rPr>
            </w:pPr>
            <w:r>
              <w:rPr>
                <w:rFonts w:ascii="Arial" w:eastAsia="Times New Roman" w:hAnsi="Arial" w:cs="Arial"/>
                <w:color w:val="000000"/>
                <w:lang w:eastAsia="de-DE"/>
              </w:rPr>
              <w:t>Accounting</w:t>
            </w:r>
            <w:r w:rsidR="00DC065A" w:rsidRPr="00632FF6">
              <w:rPr>
                <w:rFonts w:ascii="Arial" w:eastAsia="Times New Roman" w:hAnsi="Arial" w:cs="Arial"/>
                <w:color w:val="000000"/>
                <w:lang w:eastAsia="de-DE"/>
              </w:rPr>
              <w:t xml:space="preserve"> </w:t>
            </w:r>
            <w:r w:rsidR="00BB2CE6">
              <w:rPr>
                <w:rFonts w:ascii="Arial" w:eastAsia="Times New Roman" w:hAnsi="Arial" w:cs="Arial"/>
                <w:color w:val="000000"/>
                <w:lang w:eastAsia="de-DE"/>
              </w:rPr>
              <w:t>Tie-line</w:t>
            </w:r>
            <w:r w:rsidR="00DC065A" w:rsidRPr="00632FF6">
              <w:rPr>
                <w:rFonts w:ascii="Arial" w:eastAsia="Times New Roman" w:hAnsi="Arial" w:cs="Arial"/>
                <w:color w:val="000000"/>
                <w:lang w:eastAsia="de-DE"/>
              </w:rPr>
              <w:t xml:space="preserve"> flows </w:t>
            </w:r>
            <w:r w:rsidR="0032136B">
              <w:rPr>
                <w:rFonts w:ascii="Arial" w:eastAsia="Times New Roman" w:hAnsi="Arial" w:cs="Arial"/>
                <w:color w:val="000000"/>
                <w:lang w:eastAsia="de-DE"/>
              </w:rPr>
              <w:t>- MWh</w:t>
            </w:r>
          </w:p>
        </w:tc>
        <w:tc>
          <w:tcPr>
            <w:tcW w:w="1520" w:type="dxa"/>
            <w:tcBorders>
              <w:top w:val="nil"/>
              <w:left w:val="nil"/>
              <w:bottom w:val="nil"/>
              <w:right w:val="single" w:sz="4" w:space="0" w:color="auto"/>
            </w:tcBorders>
            <w:shd w:val="clear" w:color="auto" w:fill="auto"/>
            <w:noWrap/>
            <w:hideMark/>
          </w:tcPr>
          <w:p w14:paraId="1F9ADDBC"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hideMark/>
          </w:tcPr>
          <w:p w14:paraId="133932BE"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8" w:space="0" w:color="auto"/>
            </w:tcBorders>
            <w:shd w:val="clear" w:color="auto" w:fill="auto"/>
            <w:noWrap/>
            <w:hideMark/>
          </w:tcPr>
          <w:p w14:paraId="145C5467"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r>
      <w:tr w:rsidR="002C70EF" w:rsidRPr="00DC065A" w14:paraId="295A766C" w14:textId="77777777" w:rsidTr="00263072">
        <w:trPr>
          <w:jc w:val="center"/>
        </w:trPr>
        <w:tc>
          <w:tcPr>
            <w:tcW w:w="4983" w:type="dxa"/>
            <w:tcBorders>
              <w:top w:val="nil"/>
              <w:left w:val="single" w:sz="8" w:space="0" w:color="auto"/>
              <w:bottom w:val="nil"/>
              <w:right w:val="single" w:sz="4" w:space="0" w:color="auto"/>
            </w:tcBorders>
            <w:shd w:val="clear" w:color="auto" w:fill="auto"/>
            <w:noWrap/>
            <w:hideMark/>
          </w:tcPr>
          <w:p w14:paraId="77FD626F" w14:textId="2EDEC086"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K-factors</w:t>
            </w:r>
            <w:r w:rsidR="0032136B">
              <w:rPr>
                <w:rFonts w:ascii="Arial" w:eastAsia="Times New Roman" w:hAnsi="Arial" w:cs="Arial"/>
                <w:color w:val="000000"/>
                <w:lang w:eastAsia="de-DE"/>
              </w:rPr>
              <w:t xml:space="preserve"> – MW/Hz</w:t>
            </w:r>
          </w:p>
        </w:tc>
        <w:tc>
          <w:tcPr>
            <w:tcW w:w="1520" w:type="dxa"/>
            <w:tcBorders>
              <w:top w:val="nil"/>
              <w:left w:val="nil"/>
              <w:bottom w:val="nil"/>
              <w:right w:val="single" w:sz="4" w:space="0" w:color="auto"/>
            </w:tcBorders>
            <w:shd w:val="clear" w:color="auto" w:fill="auto"/>
            <w:noWrap/>
            <w:hideMark/>
          </w:tcPr>
          <w:p w14:paraId="4EB6266C"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hideMark/>
          </w:tcPr>
          <w:p w14:paraId="3CECDEDE"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8" w:space="0" w:color="auto"/>
            </w:tcBorders>
            <w:shd w:val="clear" w:color="auto" w:fill="auto"/>
            <w:noWrap/>
            <w:hideMark/>
          </w:tcPr>
          <w:p w14:paraId="662EB81F"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r>
      <w:tr w:rsidR="00DC065A" w:rsidRPr="00DC065A" w14:paraId="029AEEF9" w14:textId="77777777" w:rsidTr="00263072">
        <w:trPr>
          <w:jc w:val="center"/>
        </w:trPr>
        <w:tc>
          <w:tcPr>
            <w:tcW w:w="4983" w:type="dxa"/>
            <w:tcBorders>
              <w:top w:val="nil"/>
              <w:left w:val="single" w:sz="8" w:space="0" w:color="auto"/>
              <w:bottom w:val="nil"/>
              <w:right w:val="single" w:sz="4" w:space="0" w:color="auto"/>
            </w:tcBorders>
            <w:shd w:val="clear" w:color="auto" w:fill="auto"/>
            <w:noWrap/>
            <w:hideMark/>
          </w:tcPr>
          <w:p w14:paraId="0E7DDC10" w14:textId="6F69A65E" w:rsidR="00DC065A" w:rsidRPr="00632FF6" w:rsidRDefault="00DC065A" w:rsidP="00DC065A">
            <w:pPr>
              <w:spacing w:after="0" w:line="240" w:lineRule="auto"/>
              <w:rPr>
                <w:rFonts w:ascii="Arial" w:eastAsia="Times New Roman" w:hAnsi="Arial" w:cs="Arial"/>
                <w:color w:val="000000"/>
                <w:lang w:eastAsia="de-DE"/>
              </w:rPr>
            </w:pPr>
            <w:r w:rsidRPr="00632FF6">
              <w:rPr>
                <w:rFonts w:ascii="Arial" w:eastAsia="Times New Roman" w:hAnsi="Arial" w:cs="Arial"/>
                <w:color w:val="000000"/>
                <w:lang w:eastAsia="de-DE"/>
              </w:rPr>
              <w:t>Frequency Deviation</w:t>
            </w:r>
            <w:r w:rsidR="0032136B">
              <w:rPr>
                <w:rFonts w:ascii="Arial" w:eastAsia="Times New Roman" w:hAnsi="Arial" w:cs="Arial"/>
                <w:color w:val="000000"/>
                <w:lang w:eastAsia="de-DE"/>
              </w:rPr>
              <w:t xml:space="preserve"> – mHz</w:t>
            </w:r>
          </w:p>
        </w:tc>
        <w:tc>
          <w:tcPr>
            <w:tcW w:w="1520" w:type="dxa"/>
            <w:tcBorders>
              <w:top w:val="nil"/>
              <w:left w:val="nil"/>
              <w:bottom w:val="nil"/>
              <w:right w:val="single" w:sz="4" w:space="0" w:color="auto"/>
            </w:tcBorders>
            <w:shd w:val="clear" w:color="auto" w:fill="auto"/>
            <w:noWrap/>
            <w:hideMark/>
          </w:tcPr>
          <w:p w14:paraId="0D700897"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hideMark/>
          </w:tcPr>
          <w:p w14:paraId="1E0633DE"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8" w:space="0" w:color="auto"/>
            </w:tcBorders>
            <w:shd w:val="clear" w:color="auto" w:fill="auto"/>
            <w:noWrap/>
            <w:hideMark/>
          </w:tcPr>
          <w:p w14:paraId="6F008929"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r>
      <w:tr w:rsidR="00DC065A" w:rsidRPr="00DC065A" w14:paraId="134D2251" w14:textId="77777777" w:rsidTr="00263072">
        <w:trPr>
          <w:jc w:val="center"/>
        </w:trPr>
        <w:tc>
          <w:tcPr>
            <w:tcW w:w="4983" w:type="dxa"/>
            <w:tcBorders>
              <w:top w:val="nil"/>
              <w:left w:val="single" w:sz="8" w:space="0" w:color="auto"/>
              <w:bottom w:val="nil"/>
              <w:right w:val="single" w:sz="4" w:space="0" w:color="auto"/>
            </w:tcBorders>
            <w:shd w:val="clear" w:color="auto" w:fill="auto"/>
            <w:noWrap/>
            <w:hideMark/>
          </w:tcPr>
          <w:p w14:paraId="0CCE6A5A" w14:textId="4D0D87EF" w:rsidR="00DC065A" w:rsidRPr="00632FF6" w:rsidRDefault="00DC065A" w:rsidP="00DC065A">
            <w:pPr>
              <w:spacing w:after="0" w:line="240" w:lineRule="auto"/>
              <w:rPr>
                <w:rFonts w:ascii="Arial" w:eastAsia="Times New Roman" w:hAnsi="Arial" w:cs="Arial"/>
                <w:color w:val="000000"/>
                <w:lang w:eastAsia="de-DE"/>
              </w:rPr>
            </w:pPr>
            <w:r w:rsidRPr="00632FF6">
              <w:rPr>
                <w:rFonts w:ascii="Arial" w:eastAsia="Times New Roman" w:hAnsi="Arial" w:cs="Arial"/>
                <w:color w:val="000000"/>
                <w:lang w:eastAsia="de-DE"/>
              </w:rPr>
              <w:t>Volumes of FCP Energy</w:t>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hideMark/>
          </w:tcPr>
          <w:p w14:paraId="65D2B265"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hideMark/>
          </w:tcPr>
          <w:p w14:paraId="5F12CA43"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hideMark/>
          </w:tcPr>
          <w:p w14:paraId="6EE64760"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r>
      <w:tr w:rsidR="00DC065A" w:rsidRPr="00DC065A" w14:paraId="75C8F3F2" w14:textId="77777777" w:rsidTr="00263072">
        <w:trPr>
          <w:jc w:val="center"/>
        </w:trPr>
        <w:tc>
          <w:tcPr>
            <w:tcW w:w="4983" w:type="dxa"/>
            <w:tcBorders>
              <w:top w:val="nil"/>
              <w:left w:val="single" w:sz="8" w:space="0" w:color="auto"/>
              <w:bottom w:val="nil"/>
              <w:right w:val="single" w:sz="4" w:space="0" w:color="auto"/>
            </w:tcBorders>
            <w:shd w:val="clear" w:color="auto" w:fill="auto"/>
            <w:noWrap/>
            <w:hideMark/>
          </w:tcPr>
          <w:p w14:paraId="112A3B65" w14:textId="2C319631" w:rsidR="00DC065A" w:rsidRPr="00632FF6" w:rsidRDefault="00DC065A" w:rsidP="00DC065A">
            <w:pPr>
              <w:spacing w:after="0" w:line="240" w:lineRule="auto"/>
              <w:rPr>
                <w:rFonts w:ascii="Arial" w:eastAsia="Times New Roman" w:hAnsi="Arial" w:cs="Arial"/>
                <w:color w:val="000000"/>
                <w:lang w:eastAsia="de-DE"/>
              </w:rPr>
            </w:pPr>
            <w:r w:rsidRPr="00632FF6">
              <w:rPr>
                <w:rFonts w:ascii="Arial" w:eastAsia="Times New Roman" w:hAnsi="Arial" w:cs="Arial"/>
                <w:color w:val="000000"/>
                <w:lang w:eastAsia="de-DE"/>
              </w:rPr>
              <w:t>Volumes of RP Energy</w:t>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hideMark/>
          </w:tcPr>
          <w:p w14:paraId="1C354D7D"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hideMark/>
          </w:tcPr>
          <w:p w14:paraId="43EA65F0"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hideMark/>
          </w:tcPr>
          <w:p w14:paraId="12558481"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r>
      <w:tr w:rsidR="00DC065A" w:rsidRPr="00DC065A" w14:paraId="75C0902C" w14:textId="77777777" w:rsidTr="00263072">
        <w:trPr>
          <w:jc w:val="center"/>
        </w:trPr>
        <w:tc>
          <w:tcPr>
            <w:tcW w:w="4983" w:type="dxa"/>
            <w:tcBorders>
              <w:top w:val="nil"/>
              <w:left w:val="single" w:sz="8" w:space="0" w:color="auto"/>
              <w:bottom w:val="nil"/>
              <w:right w:val="single" w:sz="4" w:space="0" w:color="auto"/>
            </w:tcBorders>
            <w:shd w:val="clear" w:color="auto" w:fill="auto"/>
            <w:noWrap/>
            <w:hideMark/>
          </w:tcPr>
          <w:p w14:paraId="394375C3" w14:textId="3CAA5EDE" w:rsidR="00DC065A" w:rsidRPr="00632FF6" w:rsidRDefault="00DC065A" w:rsidP="00DC065A">
            <w:pPr>
              <w:spacing w:after="0" w:line="240" w:lineRule="auto"/>
              <w:rPr>
                <w:rFonts w:ascii="Arial" w:eastAsia="Times New Roman" w:hAnsi="Arial" w:cs="Arial"/>
                <w:color w:val="000000"/>
                <w:lang w:eastAsia="de-DE"/>
              </w:rPr>
            </w:pPr>
            <w:r w:rsidRPr="00632FF6">
              <w:rPr>
                <w:rFonts w:ascii="Arial" w:eastAsia="Times New Roman" w:hAnsi="Arial" w:cs="Arial"/>
                <w:color w:val="000000"/>
                <w:lang w:eastAsia="de-DE"/>
              </w:rPr>
              <w:t>Volumes of UE Energy</w:t>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hideMark/>
          </w:tcPr>
          <w:p w14:paraId="6C099493"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hideMark/>
          </w:tcPr>
          <w:p w14:paraId="4695CA55"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hideMark/>
          </w:tcPr>
          <w:p w14:paraId="7B7FED53"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r>
      <w:tr w:rsidR="00174280" w:rsidRPr="00DC065A" w14:paraId="15069F40" w14:textId="77777777" w:rsidTr="00263072">
        <w:trPr>
          <w:jc w:val="center"/>
        </w:trPr>
        <w:tc>
          <w:tcPr>
            <w:tcW w:w="4983" w:type="dxa"/>
            <w:tcBorders>
              <w:top w:val="nil"/>
              <w:left w:val="single" w:sz="8" w:space="0" w:color="auto"/>
              <w:bottom w:val="nil"/>
              <w:right w:val="single" w:sz="4" w:space="0" w:color="auto"/>
            </w:tcBorders>
            <w:shd w:val="clear" w:color="auto" w:fill="auto"/>
            <w:noWrap/>
          </w:tcPr>
          <w:p w14:paraId="0BBC6BCC" w14:textId="393B46E3" w:rsidR="00174280" w:rsidRPr="00632FF6" w:rsidRDefault="009811C0" w:rsidP="00DC06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Day-Ahead Market Price (DAMP)</w:t>
            </w:r>
            <w:r w:rsidR="00174280">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tcPr>
          <w:p w14:paraId="5680178C" w14:textId="216D4223" w:rsidR="00174280" w:rsidRPr="00632FF6" w:rsidRDefault="00174280" w:rsidP="00DC06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520" w:type="dxa"/>
            <w:tcBorders>
              <w:top w:val="nil"/>
              <w:left w:val="nil"/>
              <w:bottom w:val="nil"/>
              <w:right w:val="single" w:sz="4" w:space="0" w:color="auto"/>
            </w:tcBorders>
            <w:shd w:val="clear" w:color="auto" w:fill="auto"/>
            <w:noWrap/>
          </w:tcPr>
          <w:p w14:paraId="0B1436AC" w14:textId="0C7B3DFD" w:rsidR="00174280" w:rsidRPr="00632FF6" w:rsidRDefault="00174280" w:rsidP="00DC06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tcPr>
          <w:p w14:paraId="21820BAD" w14:textId="0E6F6794" w:rsidR="00174280" w:rsidRPr="00632FF6" w:rsidRDefault="00174280" w:rsidP="00DC06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r>
      <w:tr w:rsidR="00DC065A" w:rsidRPr="00DC065A" w14:paraId="77822391" w14:textId="77777777" w:rsidTr="00263072">
        <w:trPr>
          <w:jc w:val="center"/>
        </w:trPr>
        <w:tc>
          <w:tcPr>
            <w:tcW w:w="4983" w:type="dxa"/>
            <w:tcBorders>
              <w:top w:val="nil"/>
              <w:left w:val="single" w:sz="8" w:space="0" w:color="auto"/>
              <w:bottom w:val="nil"/>
              <w:right w:val="single" w:sz="4" w:space="0" w:color="auto"/>
            </w:tcBorders>
            <w:shd w:val="clear" w:color="auto" w:fill="auto"/>
            <w:noWrap/>
            <w:hideMark/>
          </w:tcPr>
          <w:p w14:paraId="7767CE1C" w14:textId="19B870E9" w:rsidR="00DC065A" w:rsidRPr="00632FF6" w:rsidRDefault="00DC065A" w:rsidP="00DC065A">
            <w:pPr>
              <w:spacing w:after="0" w:line="240" w:lineRule="auto"/>
              <w:rPr>
                <w:rFonts w:ascii="Arial" w:eastAsia="Times New Roman" w:hAnsi="Arial" w:cs="Arial"/>
                <w:color w:val="000000"/>
                <w:lang w:eastAsia="de-DE"/>
              </w:rPr>
            </w:pPr>
            <w:r w:rsidRPr="00632FF6">
              <w:rPr>
                <w:rFonts w:ascii="Arial" w:eastAsia="Times New Roman" w:hAnsi="Arial" w:cs="Arial"/>
                <w:color w:val="000000"/>
                <w:lang w:eastAsia="de-DE"/>
              </w:rPr>
              <w:t>Price for FCPE</w:t>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hideMark/>
          </w:tcPr>
          <w:p w14:paraId="645AF830"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4" w:space="0" w:color="auto"/>
            </w:tcBorders>
            <w:shd w:val="clear" w:color="auto" w:fill="auto"/>
            <w:noWrap/>
            <w:hideMark/>
          </w:tcPr>
          <w:p w14:paraId="10F0388F"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hideMark/>
          </w:tcPr>
          <w:p w14:paraId="6AB687BC"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r>
      <w:tr w:rsidR="002C70EF" w:rsidRPr="00DC065A" w14:paraId="2069D165" w14:textId="77777777" w:rsidTr="00263072">
        <w:trPr>
          <w:jc w:val="center"/>
        </w:trPr>
        <w:tc>
          <w:tcPr>
            <w:tcW w:w="4983" w:type="dxa"/>
            <w:tcBorders>
              <w:top w:val="nil"/>
              <w:left w:val="single" w:sz="8" w:space="0" w:color="auto"/>
              <w:bottom w:val="nil"/>
              <w:right w:val="single" w:sz="4" w:space="0" w:color="auto"/>
            </w:tcBorders>
            <w:shd w:val="clear" w:color="auto" w:fill="auto"/>
            <w:noWrap/>
            <w:hideMark/>
          </w:tcPr>
          <w:p w14:paraId="569B5D92" w14:textId="126843A6"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 xml:space="preserve">Price for RPE </w:t>
            </w:r>
            <w:r w:rsidR="0032136B">
              <w:rPr>
                <w:rFonts w:ascii="Arial" w:eastAsia="Times New Roman" w:hAnsi="Arial" w:cs="Arial"/>
                <w:color w:val="000000"/>
                <w:lang w:eastAsia="de-DE"/>
              </w:rPr>
              <w:t>- €/MWh</w:t>
            </w:r>
          </w:p>
        </w:tc>
        <w:tc>
          <w:tcPr>
            <w:tcW w:w="1520" w:type="dxa"/>
            <w:tcBorders>
              <w:top w:val="nil"/>
              <w:left w:val="nil"/>
              <w:bottom w:val="nil"/>
              <w:right w:val="single" w:sz="4" w:space="0" w:color="auto"/>
            </w:tcBorders>
            <w:shd w:val="clear" w:color="auto" w:fill="auto"/>
            <w:noWrap/>
            <w:hideMark/>
          </w:tcPr>
          <w:p w14:paraId="21619976"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4" w:space="0" w:color="auto"/>
            </w:tcBorders>
            <w:shd w:val="clear" w:color="auto" w:fill="auto"/>
            <w:noWrap/>
            <w:hideMark/>
          </w:tcPr>
          <w:p w14:paraId="3848FB2A"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hideMark/>
          </w:tcPr>
          <w:p w14:paraId="62D8560B"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r>
      <w:tr w:rsidR="002C70EF" w:rsidRPr="00DC065A" w14:paraId="346012B4" w14:textId="77777777" w:rsidTr="00263072">
        <w:trPr>
          <w:jc w:val="center"/>
        </w:trPr>
        <w:tc>
          <w:tcPr>
            <w:tcW w:w="4983" w:type="dxa"/>
            <w:tcBorders>
              <w:top w:val="nil"/>
              <w:left w:val="single" w:sz="8" w:space="0" w:color="auto"/>
              <w:bottom w:val="nil"/>
              <w:right w:val="single" w:sz="4" w:space="0" w:color="auto"/>
            </w:tcBorders>
            <w:shd w:val="clear" w:color="auto" w:fill="auto"/>
            <w:noWrap/>
            <w:hideMark/>
          </w:tcPr>
          <w:p w14:paraId="1692CAAA" w14:textId="1F022782"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Price for UE</w:t>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hideMark/>
          </w:tcPr>
          <w:p w14:paraId="18758D5D"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4" w:space="0" w:color="auto"/>
            </w:tcBorders>
            <w:shd w:val="clear" w:color="auto" w:fill="auto"/>
            <w:noWrap/>
            <w:hideMark/>
          </w:tcPr>
          <w:p w14:paraId="70BCE5B3"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hideMark/>
          </w:tcPr>
          <w:p w14:paraId="19C4F7B8"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r>
      <w:tr w:rsidR="002C70EF" w:rsidRPr="00DC065A" w14:paraId="01EE8597" w14:textId="77777777" w:rsidTr="00263072">
        <w:trPr>
          <w:jc w:val="center"/>
        </w:trPr>
        <w:tc>
          <w:tcPr>
            <w:tcW w:w="4983" w:type="dxa"/>
            <w:tcBorders>
              <w:top w:val="nil"/>
              <w:left w:val="single" w:sz="8" w:space="0" w:color="auto"/>
              <w:bottom w:val="nil"/>
              <w:right w:val="single" w:sz="4" w:space="0" w:color="auto"/>
            </w:tcBorders>
            <w:shd w:val="clear" w:color="auto" w:fill="auto"/>
            <w:noWrap/>
          </w:tcPr>
          <w:p w14:paraId="0C5AD8D9" w14:textId="6977BFB5" w:rsidR="00073C83" w:rsidRPr="00073C83" w:rsidRDefault="00073C83" w:rsidP="00DC065A">
            <w:pPr>
              <w:spacing w:after="0" w:line="240" w:lineRule="auto"/>
              <w:jc w:val="left"/>
              <w:rPr>
                <w:rFonts w:ascii="Arial" w:eastAsia="Times New Roman" w:hAnsi="Arial" w:cs="Arial"/>
                <w:color w:val="000000"/>
                <w:lang w:eastAsia="de-DE"/>
              </w:rPr>
            </w:pPr>
            <w:r>
              <w:rPr>
                <w:rFonts w:ascii="Arial" w:eastAsia="Times New Roman" w:hAnsi="Arial" w:cs="Arial"/>
                <w:color w:val="000000"/>
                <w:lang w:eastAsia="de-DE"/>
              </w:rPr>
              <w:t>Monetary values for FCPE</w:t>
            </w:r>
            <w:r w:rsidR="0032136B">
              <w:rPr>
                <w:rFonts w:ascii="Arial" w:eastAsia="Times New Roman" w:hAnsi="Arial" w:cs="Arial"/>
                <w:color w:val="000000"/>
                <w:lang w:eastAsia="de-DE"/>
              </w:rPr>
              <w:t xml:space="preserve"> - €</w:t>
            </w:r>
          </w:p>
        </w:tc>
        <w:tc>
          <w:tcPr>
            <w:tcW w:w="1520" w:type="dxa"/>
            <w:tcBorders>
              <w:top w:val="nil"/>
              <w:left w:val="nil"/>
              <w:bottom w:val="nil"/>
              <w:right w:val="single" w:sz="4" w:space="0" w:color="auto"/>
            </w:tcBorders>
            <w:shd w:val="clear" w:color="auto" w:fill="auto"/>
            <w:noWrap/>
          </w:tcPr>
          <w:p w14:paraId="143DBC4D" w14:textId="12101D60" w:rsidR="00073C83" w:rsidRPr="00073C83" w:rsidRDefault="00073C83" w:rsidP="00DC06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520" w:type="dxa"/>
            <w:tcBorders>
              <w:top w:val="nil"/>
              <w:left w:val="nil"/>
              <w:bottom w:val="nil"/>
              <w:right w:val="single" w:sz="4" w:space="0" w:color="auto"/>
            </w:tcBorders>
            <w:shd w:val="clear" w:color="auto" w:fill="auto"/>
            <w:noWrap/>
          </w:tcPr>
          <w:p w14:paraId="1F6D83AE" w14:textId="6042C7A8" w:rsidR="00073C83" w:rsidRPr="00073C83" w:rsidRDefault="00073C83" w:rsidP="00DC06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tcPr>
          <w:p w14:paraId="47617C68" w14:textId="313334B0" w:rsidR="00073C83" w:rsidRPr="00073C83" w:rsidRDefault="00073C83" w:rsidP="00DC06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r>
      <w:tr w:rsidR="002C70EF" w:rsidRPr="00DC065A" w14:paraId="0A90EA33" w14:textId="77777777" w:rsidTr="00263072">
        <w:trPr>
          <w:jc w:val="center"/>
        </w:trPr>
        <w:tc>
          <w:tcPr>
            <w:tcW w:w="4983" w:type="dxa"/>
            <w:tcBorders>
              <w:top w:val="nil"/>
              <w:left w:val="single" w:sz="8" w:space="0" w:color="auto"/>
              <w:bottom w:val="nil"/>
              <w:right w:val="single" w:sz="4" w:space="0" w:color="auto"/>
            </w:tcBorders>
            <w:shd w:val="clear" w:color="auto" w:fill="auto"/>
            <w:noWrap/>
          </w:tcPr>
          <w:p w14:paraId="3687A33C" w14:textId="2A862799" w:rsidR="00073C83" w:rsidRPr="00073C83" w:rsidRDefault="00073C83" w:rsidP="00073C83">
            <w:pPr>
              <w:spacing w:after="0" w:line="240" w:lineRule="auto"/>
              <w:jc w:val="left"/>
              <w:rPr>
                <w:rFonts w:ascii="Arial" w:eastAsia="Times New Roman" w:hAnsi="Arial" w:cs="Arial"/>
                <w:color w:val="000000"/>
                <w:lang w:eastAsia="de-DE"/>
              </w:rPr>
            </w:pPr>
            <w:r>
              <w:rPr>
                <w:rFonts w:ascii="Arial" w:eastAsia="Times New Roman" w:hAnsi="Arial" w:cs="Arial"/>
                <w:color w:val="000000"/>
                <w:lang w:eastAsia="de-DE"/>
              </w:rPr>
              <w:t>Monetary values for RPE</w:t>
            </w:r>
            <w:r w:rsidR="0032136B">
              <w:rPr>
                <w:rFonts w:ascii="Arial" w:eastAsia="Times New Roman" w:hAnsi="Arial" w:cs="Arial"/>
                <w:color w:val="000000"/>
                <w:lang w:eastAsia="de-DE"/>
              </w:rPr>
              <w:t xml:space="preserve"> - €</w:t>
            </w:r>
          </w:p>
        </w:tc>
        <w:tc>
          <w:tcPr>
            <w:tcW w:w="1520" w:type="dxa"/>
            <w:tcBorders>
              <w:top w:val="nil"/>
              <w:left w:val="nil"/>
              <w:bottom w:val="nil"/>
              <w:right w:val="single" w:sz="4" w:space="0" w:color="auto"/>
            </w:tcBorders>
            <w:shd w:val="clear" w:color="auto" w:fill="auto"/>
            <w:noWrap/>
          </w:tcPr>
          <w:p w14:paraId="0C8E032D" w14:textId="5E107554" w:rsidR="00073C83" w:rsidRPr="00073C83" w:rsidRDefault="00073C83" w:rsidP="00073C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520" w:type="dxa"/>
            <w:tcBorders>
              <w:top w:val="nil"/>
              <w:left w:val="nil"/>
              <w:bottom w:val="nil"/>
              <w:right w:val="single" w:sz="4" w:space="0" w:color="auto"/>
            </w:tcBorders>
            <w:shd w:val="clear" w:color="auto" w:fill="auto"/>
            <w:noWrap/>
          </w:tcPr>
          <w:p w14:paraId="3F1C9FAD" w14:textId="38721087" w:rsidR="00073C83" w:rsidRPr="00073C83" w:rsidRDefault="00073C83" w:rsidP="00073C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tcPr>
          <w:p w14:paraId="482690E1" w14:textId="0AF0CBEF" w:rsidR="00073C83" w:rsidRPr="00073C83" w:rsidRDefault="00073C83" w:rsidP="00073C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r>
      <w:tr w:rsidR="002C70EF" w:rsidRPr="00DC065A" w14:paraId="2ABC1413" w14:textId="77777777" w:rsidTr="00263072">
        <w:trPr>
          <w:jc w:val="center"/>
        </w:trPr>
        <w:tc>
          <w:tcPr>
            <w:tcW w:w="4983" w:type="dxa"/>
            <w:tcBorders>
              <w:top w:val="nil"/>
              <w:left w:val="single" w:sz="8" w:space="0" w:color="auto"/>
              <w:bottom w:val="single" w:sz="8" w:space="0" w:color="auto"/>
              <w:right w:val="single" w:sz="4" w:space="0" w:color="auto"/>
            </w:tcBorders>
            <w:shd w:val="clear" w:color="auto" w:fill="auto"/>
            <w:noWrap/>
          </w:tcPr>
          <w:p w14:paraId="5003C470" w14:textId="4C13B432" w:rsidR="00073C83" w:rsidRPr="00073C83" w:rsidRDefault="00073C83" w:rsidP="00073C83">
            <w:pPr>
              <w:spacing w:after="0" w:line="240" w:lineRule="auto"/>
              <w:jc w:val="left"/>
              <w:rPr>
                <w:rFonts w:ascii="Arial" w:eastAsia="Times New Roman" w:hAnsi="Arial" w:cs="Arial"/>
                <w:color w:val="000000"/>
                <w:lang w:eastAsia="de-DE"/>
              </w:rPr>
            </w:pPr>
            <w:r>
              <w:rPr>
                <w:rFonts w:ascii="Arial" w:eastAsia="Times New Roman" w:hAnsi="Arial" w:cs="Arial"/>
                <w:color w:val="000000"/>
                <w:lang w:eastAsia="de-DE"/>
              </w:rPr>
              <w:t>Monetary values for UE</w:t>
            </w:r>
            <w:r w:rsidR="0032136B">
              <w:rPr>
                <w:rFonts w:ascii="Arial" w:eastAsia="Times New Roman" w:hAnsi="Arial" w:cs="Arial"/>
                <w:color w:val="000000"/>
                <w:lang w:eastAsia="de-DE"/>
              </w:rPr>
              <w:t xml:space="preserve"> - €</w:t>
            </w:r>
          </w:p>
        </w:tc>
        <w:tc>
          <w:tcPr>
            <w:tcW w:w="1520" w:type="dxa"/>
            <w:tcBorders>
              <w:top w:val="nil"/>
              <w:left w:val="nil"/>
              <w:bottom w:val="single" w:sz="8" w:space="0" w:color="auto"/>
              <w:right w:val="single" w:sz="4" w:space="0" w:color="auto"/>
            </w:tcBorders>
            <w:shd w:val="clear" w:color="auto" w:fill="auto"/>
            <w:noWrap/>
          </w:tcPr>
          <w:p w14:paraId="3B93E24A" w14:textId="3A893C94" w:rsidR="00073C83" w:rsidRPr="00073C83" w:rsidRDefault="00073C83" w:rsidP="00073C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520" w:type="dxa"/>
            <w:tcBorders>
              <w:top w:val="nil"/>
              <w:left w:val="nil"/>
              <w:bottom w:val="single" w:sz="8" w:space="0" w:color="auto"/>
              <w:right w:val="single" w:sz="4" w:space="0" w:color="auto"/>
            </w:tcBorders>
            <w:shd w:val="clear" w:color="auto" w:fill="auto"/>
            <w:noWrap/>
          </w:tcPr>
          <w:p w14:paraId="335D1669" w14:textId="3DE5BF26" w:rsidR="00073C83" w:rsidRPr="00073C83" w:rsidRDefault="00073C83" w:rsidP="00073C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c>
          <w:tcPr>
            <w:tcW w:w="1520" w:type="dxa"/>
            <w:tcBorders>
              <w:top w:val="nil"/>
              <w:left w:val="nil"/>
              <w:bottom w:val="single" w:sz="8" w:space="0" w:color="auto"/>
              <w:right w:val="single" w:sz="8" w:space="0" w:color="auto"/>
            </w:tcBorders>
            <w:shd w:val="clear" w:color="auto" w:fill="auto"/>
            <w:noWrap/>
          </w:tcPr>
          <w:p w14:paraId="153198B5" w14:textId="31E2F64A" w:rsidR="00073C83" w:rsidRPr="00073C83" w:rsidRDefault="00073C83" w:rsidP="00073C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r>
    </w:tbl>
    <w:p w14:paraId="40711393" w14:textId="7791F89E" w:rsidR="00FA21A7" w:rsidRDefault="00FA21A7" w:rsidP="00420BC0"/>
    <w:p w14:paraId="3D9F9D71" w14:textId="0D00613B" w:rsidR="0088085A" w:rsidRPr="008271B3" w:rsidRDefault="002E2691" w:rsidP="0088085A">
      <w:pPr>
        <w:pStyle w:val="Heading3"/>
      </w:pPr>
      <w:bookmarkStart w:id="36" w:name="_Ref62108106"/>
      <w:bookmarkStart w:id="37" w:name="_Toc85043862"/>
      <w:bookmarkStart w:id="38" w:name="_Toc90297794"/>
      <w:r>
        <w:t>Coordination</w:t>
      </w:r>
      <w:r w:rsidR="0088085A" w:rsidRPr="008271B3">
        <w:t xml:space="preserve"> Centre</w:t>
      </w:r>
      <w:bookmarkEnd w:id="36"/>
      <w:bookmarkEnd w:id="37"/>
      <w:bookmarkEnd w:id="38"/>
    </w:p>
    <w:p w14:paraId="2F67DCD5" w14:textId="74C3F875" w:rsidR="0088085A" w:rsidRDefault="0088085A" w:rsidP="0088085A">
      <w:r>
        <w:t xml:space="preserve">The </w:t>
      </w:r>
      <w:r w:rsidR="002E2691">
        <w:t>Coordination</w:t>
      </w:r>
      <w:r>
        <w:t xml:space="preserve"> Centres are responsible and shall perform the following tasks within the financial settlement for:</w:t>
      </w:r>
    </w:p>
    <w:p w14:paraId="3E8F969E" w14:textId="7CE786E7" w:rsidR="0088085A" w:rsidRDefault="0088085A" w:rsidP="0088085A">
      <w:pPr>
        <w:pStyle w:val="ListParagraph"/>
        <w:numPr>
          <w:ilvl w:val="0"/>
          <w:numId w:val="81"/>
        </w:numPr>
      </w:pPr>
      <w:r>
        <w:t xml:space="preserve">Receiving Accounting Data from TSOs </w:t>
      </w:r>
      <w:r w:rsidR="00022DE4">
        <w:t xml:space="preserve">through SOVA files </w:t>
      </w:r>
      <w:r>
        <w:t>to perform the Accounting Process</w:t>
      </w:r>
    </w:p>
    <w:p w14:paraId="259210EE" w14:textId="77777777" w:rsidR="0088085A" w:rsidRDefault="0088085A" w:rsidP="0088085A">
      <w:pPr>
        <w:pStyle w:val="ListParagraph"/>
        <w:numPr>
          <w:ilvl w:val="0"/>
          <w:numId w:val="81"/>
        </w:numPr>
      </w:pPr>
      <w:r>
        <w:t>Perform the Accounting Process and Settlement Process as described in this Policy</w:t>
      </w:r>
    </w:p>
    <w:p w14:paraId="6FA032A8" w14:textId="77777777" w:rsidR="0088085A" w:rsidRDefault="0088085A" w:rsidP="0088085A">
      <w:pPr>
        <w:pStyle w:val="ListParagraph"/>
        <w:numPr>
          <w:ilvl w:val="0"/>
          <w:numId w:val="81"/>
        </w:numPr>
      </w:pPr>
      <w:r>
        <w:t>Calculating the Settlement Results as reflected in the DSR, DSPR and MSR, submitted to the TSOs</w:t>
      </w:r>
    </w:p>
    <w:p w14:paraId="6FC439B6" w14:textId="77777777" w:rsidR="0088085A" w:rsidRDefault="0088085A" w:rsidP="0088085A">
      <w:pPr>
        <w:pStyle w:val="ListParagraph"/>
        <w:numPr>
          <w:ilvl w:val="0"/>
          <w:numId w:val="81"/>
        </w:numPr>
      </w:pPr>
      <w:r>
        <w:t>Submitting the monthly Settlement Results to the Invoicing Entity for invoicing</w:t>
      </w:r>
    </w:p>
    <w:p w14:paraId="55E6DD7F" w14:textId="1A52218C" w:rsidR="0088085A" w:rsidRDefault="00F7398B" w:rsidP="0088085A">
      <w:pPr>
        <w:pStyle w:val="ListParagraph"/>
        <w:numPr>
          <w:ilvl w:val="0"/>
          <w:numId w:val="81"/>
        </w:numPr>
      </w:pPr>
      <w:r>
        <w:t>S</w:t>
      </w:r>
      <w:r w:rsidR="0088085A">
        <w:t xml:space="preserve">ubmitting the actual cost sharing key to </w:t>
      </w:r>
      <w:r w:rsidR="0088085A" w:rsidRPr="006718A7">
        <w:t>the Invoicing Entity</w:t>
      </w:r>
    </w:p>
    <w:p w14:paraId="14CC3E03" w14:textId="77777777" w:rsidR="0088085A" w:rsidRDefault="0088085A" w:rsidP="0088085A">
      <w:pPr>
        <w:pStyle w:val="Heading3"/>
      </w:pPr>
      <w:bookmarkStart w:id="39" w:name="_Toc85043863"/>
      <w:bookmarkStart w:id="40" w:name="_Toc90297795"/>
      <w:r>
        <w:t>Invoicing Entity</w:t>
      </w:r>
      <w:bookmarkEnd w:id="39"/>
      <w:bookmarkEnd w:id="40"/>
    </w:p>
    <w:p w14:paraId="7A73A9A4" w14:textId="704E2DE7" w:rsidR="0088085A" w:rsidRPr="00E46554" w:rsidRDefault="0088085A" w:rsidP="0088085A">
      <w:r>
        <w:t>The Invoicing Entity is an external party to invoice TSOs according to the results of the Financial Settlement.</w:t>
      </w:r>
    </w:p>
    <w:p w14:paraId="4D08C133" w14:textId="32A2115B" w:rsidR="007103D7" w:rsidRPr="00C87891" w:rsidRDefault="00443483" w:rsidP="007103D7">
      <w:pPr>
        <w:pStyle w:val="Heading2"/>
      </w:pPr>
      <w:bookmarkStart w:id="41" w:name="_Toc90297796"/>
      <w:r w:rsidRPr="00C87891">
        <w:t>Standards</w:t>
      </w:r>
      <w:r w:rsidR="00945BFA" w:rsidRPr="00C87891">
        <w:t xml:space="preserve"> – general process overview</w:t>
      </w:r>
      <w:bookmarkEnd w:id="41"/>
    </w:p>
    <w:p w14:paraId="63E8905A" w14:textId="47B2F738" w:rsidR="005E50A9" w:rsidRPr="00C87891" w:rsidRDefault="00446768" w:rsidP="00653067">
      <w:pPr>
        <w:pStyle w:val="Heading3"/>
      </w:pPr>
      <w:bookmarkStart w:id="42" w:name="_Toc90297797"/>
      <w:r w:rsidRPr="00C87891">
        <w:t>Overview</w:t>
      </w:r>
      <w:bookmarkEnd w:id="42"/>
      <w:r w:rsidRPr="00C87891">
        <w:t xml:space="preserve"> </w:t>
      </w:r>
    </w:p>
    <w:p w14:paraId="6BF6A9D4" w14:textId="550ABB2C" w:rsidR="005E50A9" w:rsidRPr="00C87891" w:rsidRDefault="00446768" w:rsidP="005E50A9">
      <w:r w:rsidRPr="00C87891">
        <w:t xml:space="preserve">In the </w:t>
      </w:r>
      <w:r w:rsidR="00E631A4" w:rsidRPr="00C87891">
        <w:t xml:space="preserve">SA </w:t>
      </w:r>
      <w:r w:rsidRPr="00C87891">
        <w:t xml:space="preserve">CE the </w:t>
      </w:r>
      <w:r w:rsidR="000D2572">
        <w:t xml:space="preserve">energy volumes corresponding to Frequency Containment Process (FCP) Energy, Ramping Period (RP) Energy, and Unintended Exchange (UE)) </w:t>
      </w:r>
      <w:r w:rsidR="00FE0DFB" w:rsidRPr="00C87891">
        <w:t>are</w:t>
      </w:r>
      <w:r w:rsidRPr="00C87891">
        <w:t xml:space="preserve"> compensated </w:t>
      </w:r>
      <w:r w:rsidR="00917AC6">
        <w:t>financially between TSOs</w:t>
      </w:r>
      <w:r w:rsidRPr="00C87891">
        <w:t xml:space="preserve">. </w:t>
      </w:r>
    </w:p>
    <w:p w14:paraId="528D91FA" w14:textId="7852ADD4" w:rsidR="003D2C9D" w:rsidRPr="00632FF6" w:rsidRDefault="00F73500" w:rsidP="00632FF6">
      <w:pPr>
        <w:pStyle w:val="Heading3"/>
      </w:pPr>
      <w:bookmarkStart w:id="43" w:name="_Toc90297798"/>
      <w:r w:rsidRPr="00C87891">
        <w:t xml:space="preserve">Workflow </w:t>
      </w:r>
      <w:r w:rsidRPr="00632FF6">
        <w:t>for the accounting and settlement process</w:t>
      </w:r>
      <w:bookmarkEnd w:id="43"/>
    </w:p>
    <w:p w14:paraId="70D8FEC9" w14:textId="58751A80" w:rsidR="003D2C9D" w:rsidRPr="00263072" w:rsidRDefault="003D2C9D">
      <w:r w:rsidRPr="009E0E53">
        <w:rPr>
          <w:b/>
          <w:bCs/>
        </w:rPr>
        <w:t>Accounting process</w:t>
      </w:r>
    </w:p>
    <w:p w14:paraId="36A701DA" w14:textId="67B3D66E" w:rsidR="003D2C9D" w:rsidRDefault="003D2C9D" w:rsidP="003D2C9D">
      <w:r>
        <w:t>The A</w:t>
      </w:r>
      <w:r w:rsidRPr="00C87891">
        <w:t xml:space="preserve">ccounting Process </w:t>
      </w:r>
      <w:r>
        <w:t>begins with</w:t>
      </w:r>
      <w:r w:rsidRPr="00C87891">
        <w:t xml:space="preserve"> the validation of the metered data </w:t>
      </w:r>
      <w:r w:rsidR="00082AC3">
        <w:t xml:space="preserve">by TSOs </w:t>
      </w:r>
      <w:r w:rsidRPr="00C87891">
        <w:t xml:space="preserve">(usually located at an interconnecting Tie-Line of a TSO) and of the resulting Accounting Data. The purpose of the daily accounting is to provide a validated set of Accounting Data to the </w:t>
      </w:r>
      <w:r w:rsidR="002E2691">
        <w:t>Coordination</w:t>
      </w:r>
      <w:r w:rsidRPr="00C87891">
        <w:t xml:space="preserve"> Centre</w:t>
      </w:r>
      <w:r>
        <w:t xml:space="preserve">s </w:t>
      </w:r>
      <w:r w:rsidRPr="00C87891">
        <w:t xml:space="preserve">in order to </w:t>
      </w:r>
      <w:r>
        <w:t>perform</w:t>
      </w:r>
      <w:r w:rsidRPr="00C87891">
        <w:t xml:space="preserve"> </w:t>
      </w:r>
      <w:r>
        <w:t>the settlement process</w:t>
      </w:r>
      <w:r w:rsidR="00A72C08" w:rsidRPr="00A72C08">
        <w:t xml:space="preserve"> </w:t>
      </w:r>
      <w:r w:rsidR="00A72C08" w:rsidRPr="00C87891">
        <w:t>every day</w:t>
      </w:r>
      <w:r w:rsidRPr="00C87891">
        <w:t>.</w:t>
      </w:r>
    </w:p>
    <w:p w14:paraId="4DBFE7A6" w14:textId="74927F3C" w:rsidR="003D2C9D" w:rsidRDefault="003D2C9D" w:rsidP="003D2C9D">
      <w:bookmarkStart w:id="44" w:name="_Ref512260676"/>
      <w:r>
        <w:t>Accounting process by the TSOs: TSOs have to finish the daily accounting process on</w:t>
      </w:r>
      <w:r w:rsidRPr="00C87891">
        <w:t xml:space="preserve"> the first working day after energy delivery, except in cases of unavailability of accounting offices (see </w:t>
      </w:r>
      <w:r w:rsidRPr="00C87891">
        <w:fldChar w:fldCharType="begin"/>
      </w:r>
      <w:r w:rsidRPr="00C87891">
        <w:instrText xml:space="preserve"> REF _Ref523401129 \r \h </w:instrText>
      </w:r>
      <w:r>
        <w:instrText xml:space="preserve"> \* MERGEFORMAT </w:instrText>
      </w:r>
      <w:r w:rsidRPr="00C87891">
        <w:fldChar w:fldCharType="separate"/>
      </w:r>
      <w:r w:rsidR="009E7709">
        <w:t>C-3-3</w:t>
      </w:r>
      <w:r w:rsidRPr="00C87891">
        <w:fldChar w:fldCharType="end"/>
      </w:r>
      <w:r w:rsidRPr="00C87891">
        <w:t xml:space="preserve">) or data mismatch (see </w:t>
      </w:r>
      <w:r w:rsidRPr="00C87891">
        <w:fldChar w:fldCharType="begin"/>
      </w:r>
      <w:r w:rsidRPr="00C87891">
        <w:instrText xml:space="preserve"> REF _Ref523390386 \r \h </w:instrText>
      </w:r>
      <w:r>
        <w:instrText xml:space="preserve"> \* MERGEFORMAT </w:instrText>
      </w:r>
      <w:r w:rsidRPr="00C87891">
        <w:fldChar w:fldCharType="separate"/>
      </w:r>
      <w:r w:rsidR="009E7709">
        <w:t>C-3-8</w:t>
      </w:r>
      <w:r w:rsidRPr="00C87891">
        <w:fldChar w:fldCharType="end"/>
      </w:r>
      <w:r w:rsidRPr="00C87891">
        <w:t xml:space="preserve"> and </w:t>
      </w:r>
      <w:r w:rsidR="00022DE4" w:rsidRPr="00C87891">
        <w:fldChar w:fldCharType="begin"/>
      </w:r>
      <w:r w:rsidR="00022DE4" w:rsidRPr="00C87891">
        <w:instrText xml:space="preserve"> REF _Ref523390400 \r \h </w:instrText>
      </w:r>
      <w:r w:rsidR="00022DE4">
        <w:instrText xml:space="preserve"> \* MERGEFORMAT </w:instrText>
      </w:r>
      <w:r w:rsidR="00022DE4" w:rsidRPr="00C87891">
        <w:fldChar w:fldCharType="separate"/>
      </w:r>
      <w:r w:rsidR="009E7709">
        <w:t>C-5-2-4</w:t>
      </w:r>
      <w:r w:rsidR="00022DE4" w:rsidRPr="00C87891">
        <w:fldChar w:fldCharType="end"/>
      </w:r>
      <w:r w:rsidR="00022DE4" w:rsidRPr="00C87891">
        <w:t xml:space="preserve">). </w:t>
      </w:r>
      <w:r w:rsidRPr="00C87891">
        <w:t xml:space="preserve"> It starts with the initial exchange of metered data </w:t>
      </w:r>
      <w:r w:rsidR="00A72C08">
        <w:t xml:space="preserve">for each Tie-Line </w:t>
      </w:r>
      <w:r w:rsidRPr="00C87891">
        <w:t>between neighbouring TSOs, continues with the establishment of the Accounting Data</w:t>
      </w:r>
      <w:r w:rsidR="00A72C08">
        <w:t xml:space="preserve"> for each Tie-Line</w:t>
      </w:r>
      <w:r w:rsidRPr="00C87891">
        <w:t xml:space="preserve">, and the transmission of the resulting </w:t>
      </w:r>
      <w:r>
        <w:t>Accounting D</w:t>
      </w:r>
      <w:r w:rsidRPr="00C87891">
        <w:t xml:space="preserve">ata up to the </w:t>
      </w:r>
      <w:r w:rsidR="002E2691">
        <w:t>Coordination</w:t>
      </w:r>
      <w:r w:rsidRPr="00C87891">
        <w:t xml:space="preserve"> Centre</w:t>
      </w:r>
      <w:r>
        <w:t>s.</w:t>
      </w:r>
    </w:p>
    <w:p w14:paraId="5626A3A5" w14:textId="63E76D88" w:rsidR="003D2C9D" w:rsidRDefault="003D2C9D" w:rsidP="003D2C9D">
      <w:r>
        <w:t xml:space="preserve">Accounting process by the </w:t>
      </w:r>
      <w:r w:rsidR="002E2691">
        <w:t>Coordination</w:t>
      </w:r>
      <w:r>
        <w:t xml:space="preserve"> Centres: Upon reception of the Accounting Data </w:t>
      </w:r>
      <w:r w:rsidR="000715B8">
        <w:t>(including VTL)</w:t>
      </w:r>
      <w:r w:rsidR="008664DD">
        <w:t>, the frequency deviations</w:t>
      </w:r>
      <w:r w:rsidR="000715B8">
        <w:t xml:space="preserve"> </w:t>
      </w:r>
      <w:r w:rsidR="00BD2A27">
        <w:t xml:space="preserve">from Swissgrid </w:t>
      </w:r>
      <w:r w:rsidR="000715B8">
        <w:t>and</w:t>
      </w:r>
      <w:r w:rsidR="008664DD">
        <w:t xml:space="preserve"> </w:t>
      </w:r>
      <w:r>
        <w:t xml:space="preserve">the K-factors from the TSOs, the </w:t>
      </w:r>
      <w:r w:rsidR="002E2691">
        <w:t>Coordination</w:t>
      </w:r>
      <w:r w:rsidR="008D666C">
        <w:t xml:space="preserve"> Centre</w:t>
      </w:r>
      <w:r>
        <w:t>s</w:t>
      </w:r>
      <w:r w:rsidDel="000755B5">
        <w:t xml:space="preserve"> </w:t>
      </w:r>
      <w:r>
        <w:t>perform the determination of energy volumes corresponding to Frequency Containment Process (FCP) Energy, Ramping Period (RP) Energy, and Unintended Exchange (UE)</w:t>
      </w:r>
      <w:r w:rsidR="000715B8">
        <w:t xml:space="preserve"> by comparison with the sum of the LFC areas schedules (ANES)</w:t>
      </w:r>
      <w:r w:rsidR="00C162AA">
        <w:t xml:space="preserve"> and application of the corresponding formulas</w:t>
      </w:r>
      <w:r>
        <w:t xml:space="preserve">. Afterwards, a Daily Settlement Report (DSR) is sent to each TSO. The TSOs have the opportunity, to review the reported settlement results within a given deadline </w:t>
      </w:r>
      <w:r w:rsidRPr="00C87891">
        <w:t xml:space="preserve">according to the </w:t>
      </w:r>
      <w:r>
        <w:t xml:space="preserve">ACCOUNTING AND FINANCIAL SETTLEMENT OF KF, ACE AND RAMPING PERIOD (FSKAR) IMPLEMENTATION GUIDE. The expiration of the deadline concludes the Accounting Process and the daily settlement volumes are considered final. </w:t>
      </w:r>
    </w:p>
    <w:p w14:paraId="3A2D5424" w14:textId="799F9EF5" w:rsidR="00B158BB" w:rsidRPr="00263072" w:rsidRDefault="00B158BB">
      <w:r w:rsidRPr="009E0E53">
        <w:rPr>
          <w:b/>
          <w:bCs/>
        </w:rPr>
        <w:t>Settlement process</w:t>
      </w:r>
    </w:p>
    <w:p w14:paraId="1ADDC847" w14:textId="07B01D2E" w:rsidR="00F2016E" w:rsidRDefault="00F2016E" w:rsidP="00F2016E">
      <w:r w:rsidRPr="00C87891">
        <w:t>The daily settlement starts after the daily Accounting Process</w:t>
      </w:r>
      <w:r>
        <w:t xml:space="preserve"> for all TSOs has been concluded and the </w:t>
      </w:r>
      <w:r w:rsidR="002E2691">
        <w:t>Coordination</w:t>
      </w:r>
      <w:r w:rsidR="008D666C">
        <w:t xml:space="preserve"> Centre</w:t>
      </w:r>
      <w:r>
        <w:t>s</w:t>
      </w:r>
      <w:r w:rsidR="002D5DA3">
        <w:t>(CCs)</w:t>
      </w:r>
      <w:r>
        <w:t xml:space="preserve"> have received all </w:t>
      </w:r>
      <w:r w:rsidR="009811C0">
        <w:t>Day-Ahead Market Price</w:t>
      </w:r>
      <w:r>
        <w:t>s (DAMPs)</w:t>
      </w:r>
      <w:r w:rsidRPr="00C87891">
        <w:t xml:space="preserve">. </w:t>
      </w:r>
      <w:r>
        <w:t xml:space="preserve">The </w:t>
      </w:r>
      <w:r w:rsidR="002E2691">
        <w:t>Coordination</w:t>
      </w:r>
      <w:r w:rsidR="008D666C">
        <w:t xml:space="preserve"> Centre</w:t>
      </w:r>
      <w:r>
        <w:t>s perform the calculation of the Settlement Price for FCP Energy, RP Energy and UE. Following this, the Daily Settlement Prices Report (DSPR) is consolidated and distributed among the TSOs.</w:t>
      </w:r>
      <w:r w:rsidRPr="00C87891">
        <w:t xml:space="preserve"> </w:t>
      </w:r>
      <w:r>
        <w:t xml:space="preserve">The TSOs have the opportunity to review the reported settlement results within a given deadline </w:t>
      </w:r>
      <w:r w:rsidRPr="00C87891">
        <w:t xml:space="preserve">according to the </w:t>
      </w:r>
      <w:r>
        <w:t>ACCOUNTING AND FINANCIAL SETTLEMENT OF KF, ACE AND RAMPING PERIOD (FSKAR) IMPLEMENTATION GUIDE. After expiration of this deadline, the Daily Settlement Process is concluded and the daily settlement prices are considered final.</w:t>
      </w:r>
    </w:p>
    <w:p w14:paraId="3328EAFF" w14:textId="0A5C125B" w:rsidR="00F2016E" w:rsidRPr="00C87891" w:rsidRDefault="00F2016E" w:rsidP="00F2016E">
      <w:r w:rsidRPr="00C87891">
        <w:t xml:space="preserve">The </w:t>
      </w:r>
      <w:r>
        <w:t>monthly</w:t>
      </w:r>
      <w:r w:rsidRPr="00C87891">
        <w:t xml:space="preserve"> Settlement Process </w:t>
      </w:r>
      <w:r>
        <w:t>is performed after the Daily Settlement Process is concluded for each day of the calendar month.</w:t>
      </w:r>
      <w:r w:rsidRPr="00C87891">
        <w:t xml:space="preserve"> It covers the correction of daily settlement (if any) and </w:t>
      </w:r>
      <w:r>
        <w:t xml:space="preserve">consolidation of the results of all the DSPR. </w:t>
      </w:r>
      <w:r w:rsidR="002E2691">
        <w:t>Coordination</w:t>
      </w:r>
      <w:r w:rsidR="008D666C">
        <w:t xml:space="preserve"> Centre</w:t>
      </w:r>
      <w:r>
        <w:t>s send the consolidated results to each TSO through the Monthly Settlement Report (MSR). The TSOs shall confirm the MSR</w:t>
      </w:r>
      <w:r w:rsidRPr="00C6202F">
        <w:t xml:space="preserve"> </w:t>
      </w:r>
      <w:r w:rsidRPr="00C87891">
        <w:t xml:space="preserve">according to the </w:t>
      </w:r>
      <w:r>
        <w:t xml:space="preserve">ACCOUNTING AND FINANCIAL SETTLEMENT OF KF, ACE AND RAMPING PERIOD (FSKAR) IMPLEMENTATION GUIDE. </w:t>
      </w:r>
      <w:r w:rsidR="004D51F1">
        <w:t xml:space="preserve">After receiving all confirmations from the TSOs, the Settlement Process is concluded and the monthly results are considered final. </w:t>
      </w:r>
    </w:p>
    <w:p w14:paraId="1427257A" w14:textId="406B6B23" w:rsidR="003D2C9D" w:rsidRDefault="009124AA" w:rsidP="00945BFA">
      <w:r>
        <w:rPr>
          <w:rFonts w:eastAsia="Batang"/>
          <w:noProof/>
          <w:lang w:val="de-DE" w:eastAsia="de-DE"/>
        </w:rPr>
        <w:drawing>
          <wp:inline distT="0" distB="0" distL="0" distR="0" wp14:anchorId="17028A80" wp14:editId="10639A6C">
            <wp:extent cx="5844209" cy="3806815"/>
            <wp:effectExtent l="0" t="0" r="4445" b="3810"/>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89340" cy="3836213"/>
                    </a:xfrm>
                    <a:prstGeom prst="rect">
                      <a:avLst/>
                    </a:prstGeom>
                    <a:noFill/>
                  </pic:spPr>
                </pic:pic>
              </a:graphicData>
            </a:graphic>
          </wp:inline>
        </w:drawing>
      </w:r>
    </w:p>
    <w:p w14:paraId="16D993D7" w14:textId="677A4400" w:rsidR="00217FC9" w:rsidRPr="00C87891" w:rsidRDefault="00217FC9" w:rsidP="00217FC9">
      <w:pPr>
        <w:pStyle w:val="Caption"/>
        <w:rPr>
          <w:rFonts w:eastAsia="Batang"/>
        </w:rPr>
      </w:pPr>
      <w:bookmarkStart w:id="45" w:name="_Ref55914989"/>
      <w:bookmarkStart w:id="46" w:name="_Ref55914983"/>
      <w:r>
        <w:t xml:space="preserve">Figure </w:t>
      </w:r>
      <w:r>
        <w:fldChar w:fldCharType="begin"/>
      </w:r>
      <w:r>
        <w:instrText xml:space="preserve"> SEQ Figure \* ARABIC </w:instrText>
      </w:r>
      <w:r>
        <w:fldChar w:fldCharType="separate"/>
      </w:r>
      <w:r w:rsidR="009E7709">
        <w:rPr>
          <w:noProof/>
        </w:rPr>
        <w:t>2</w:t>
      </w:r>
      <w:r>
        <w:fldChar w:fldCharType="end"/>
      </w:r>
      <w:bookmarkEnd w:id="44"/>
      <w:bookmarkEnd w:id="45"/>
      <w:r>
        <w:t>. Workflow of the accounting and settlement process</w:t>
      </w:r>
      <w:bookmarkEnd w:id="46"/>
    </w:p>
    <w:p w14:paraId="64280D03" w14:textId="286635A0" w:rsidR="004D6757" w:rsidRPr="00C87891" w:rsidRDefault="004D6757" w:rsidP="002C2863">
      <w:pPr>
        <w:rPr>
          <w:rFonts w:eastAsia="Batang"/>
        </w:rPr>
      </w:pPr>
    </w:p>
    <w:p w14:paraId="6B4F31E2" w14:textId="77777777" w:rsidR="00945BFA" w:rsidRPr="00C87891" w:rsidRDefault="00945BFA" w:rsidP="00653067">
      <w:pPr>
        <w:pStyle w:val="Heading3"/>
      </w:pPr>
      <w:bookmarkStart w:id="47" w:name="_Toc54000670"/>
      <w:bookmarkStart w:id="48" w:name="_Toc54000671"/>
      <w:bookmarkStart w:id="49" w:name="_Toc54000672"/>
      <w:bookmarkStart w:id="50" w:name="_Toc54000673"/>
      <w:bookmarkStart w:id="51" w:name="_Toc54000674"/>
      <w:bookmarkStart w:id="52" w:name="_Toc54000675"/>
      <w:bookmarkStart w:id="53" w:name="_Toc54000676"/>
      <w:bookmarkStart w:id="54" w:name="_Toc54000677"/>
      <w:bookmarkStart w:id="55" w:name="_Toc54000678"/>
      <w:bookmarkStart w:id="56" w:name="_Toc90297799"/>
      <w:bookmarkEnd w:id="47"/>
      <w:bookmarkEnd w:id="48"/>
      <w:bookmarkEnd w:id="49"/>
      <w:bookmarkEnd w:id="50"/>
      <w:bookmarkEnd w:id="51"/>
      <w:bookmarkEnd w:id="52"/>
      <w:bookmarkEnd w:id="53"/>
      <w:bookmarkEnd w:id="54"/>
      <w:bookmarkEnd w:id="55"/>
      <w:r w:rsidRPr="00C87891">
        <w:t>Consideration of time shift CET - CEST</w:t>
      </w:r>
      <w:bookmarkEnd w:id="56"/>
      <w:r w:rsidRPr="00C87891">
        <w:t xml:space="preserve"> </w:t>
      </w:r>
    </w:p>
    <w:p w14:paraId="5839992C" w14:textId="75157FFC" w:rsidR="00945BFA" w:rsidRPr="00C87891" w:rsidRDefault="00945BFA" w:rsidP="00945BFA">
      <w:r w:rsidRPr="00C87891">
        <w:t xml:space="preserve">For the day </w:t>
      </w:r>
      <w:r w:rsidR="00CD609B" w:rsidRPr="00C87891">
        <w:t xml:space="preserve">with </w:t>
      </w:r>
      <w:r w:rsidRPr="00C87891">
        <w:t>a duration of 23</w:t>
      </w:r>
      <w:r w:rsidR="00CD609B" w:rsidRPr="00C87891">
        <w:t xml:space="preserve"> </w:t>
      </w:r>
      <w:r w:rsidRPr="00C87891">
        <w:t>h</w:t>
      </w:r>
      <w:r w:rsidR="00CD609B" w:rsidRPr="00C87891">
        <w:t>ours</w:t>
      </w:r>
      <w:r w:rsidRPr="00C87891">
        <w:t xml:space="preserve">, the period </w:t>
      </w:r>
      <w:r w:rsidR="00CD609B" w:rsidRPr="00C87891">
        <w:t xml:space="preserve">from </w:t>
      </w:r>
      <w:smartTag w:uri="urn:schemas-microsoft-com:office:smarttags" w:element="time">
        <w:smartTagPr>
          <w:attr w:name="Hour" w:val="2"/>
          <w:attr w:name="Minute" w:val="0"/>
        </w:smartTagPr>
        <w:r w:rsidRPr="00C87891">
          <w:t>02:00 to 03:00</w:t>
        </w:r>
      </w:smartTag>
      <w:r w:rsidRPr="00C87891">
        <w:t xml:space="preserve"> </w:t>
      </w:r>
      <w:r w:rsidR="00CD609B" w:rsidRPr="00C87891">
        <w:t xml:space="preserve">shall </w:t>
      </w:r>
      <w:r w:rsidR="00BE1462" w:rsidRPr="00C87891">
        <w:t>not be considered</w:t>
      </w:r>
      <w:r w:rsidRPr="00C87891">
        <w:t xml:space="preserve">. </w:t>
      </w:r>
    </w:p>
    <w:p w14:paraId="34B60061" w14:textId="477BDDA5" w:rsidR="00945BFA" w:rsidRDefault="00945BFA" w:rsidP="00945BFA">
      <w:r w:rsidRPr="00C87891">
        <w:t xml:space="preserve">For the day </w:t>
      </w:r>
      <w:r w:rsidR="00CD609B" w:rsidRPr="00C87891">
        <w:t xml:space="preserve">with </w:t>
      </w:r>
      <w:r w:rsidRPr="00C87891">
        <w:t>a duration period of 25</w:t>
      </w:r>
      <w:r w:rsidR="00CD609B" w:rsidRPr="00C87891">
        <w:t xml:space="preserve"> </w:t>
      </w:r>
      <w:r w:rsidRPr="00C87891">
        <w:t>h</w:t>
      </w:r>
      <w:r w:rsidR="00CD609B" w:rsidRPr="00C87891">
        <w:t>ours</w:t>
      </w:r>
      <w:r w:rsidRPr="00C87891">
        <w:t>, the period</w:t>
      </w:r>
      <w:r w:rsidR="00CD609B" w:rsidRPr="00C87891">
        <w:t xml:space="preserve"> from</w:t>
      </w:r>
      <w:r w:rsidRPr="00C87891">
        <w:t xml:space="preserve"> </w:t>
      </w:r>
      <w:smartTag w:uri="urn:schemas-microsoft-com:office:smarttags" w:element="time">
        <w:smartTagPr>
          <w:attr w:name="Hour" w:val="2"/>
          <w:attr w:name="Minute" w:val="0"/>
        </w:smartTagPr>
        <w:r w:rsidRPr="00C87891">
          <w:t>02:00 to 03:00</w:t>
        </w:r>
      </w:smartTag>
      <w:r w:rsidRPr="00C87891">
        <w:t xml:space="preserve"> </w:t>
      </w:r>
      <w:r w:rsidR="00CD609B" w:rsidRPr="00C87891">
        <w:t xml:space="preserve">shall </w:t>
      </w:r>
      <w:r w:rsidRPr="00C87891">
        <w:t xml:space="preserve">be considered </w:t>
      </w:r>
      <w:r w:rsidR="00CD609B" w:rsidRPr="00C87891">
        <w:t xml:space="preserve">to be extended to </w:t>
      </w:r>
      <w:r w:rsidRPr="00C87891">
        <w:t xml:space="preserve">two hours for the calculation. </w:t>
      </w:r>
    </w:p>
    <w:p w14:paraId="09999DEE" w14:textId="395187C2" w:rsidR="004031EC" w:rsidRDefault="004031EC" w:rsidP="00632FF6">
      <w:pPr>
        <w:pStyle w:val="Heading3"/>
      </w:pPr>
      <w:bookmarkStart w:id="57" w:name="_Toc90297800"/>
      <w:r>
        <w:t>Area Consideration</w:t>
      </w:r>
      <w:bookmarkEnd w:id="57"/>
    </w:p>
    <w:p w14:paraId="07D1E590" w14:textId="55166C30" w:rsidR="004031EC" w:rsidRDefault="004031EC">
      <w:r>
        <w:t xml:space="preserve">Per default, the Accounting and Settlement Process shall be performed on LFC area level. This requires that each LFC Area Operator shall send the relevant data for performing the process to the </w:t>
      </w:r>
      <w:r w:rsidR="002E2691">
        <w:t>Coordination</w:t>
      </w:r>
      <w:r w:rsidR="008D666C">
        <w:t xml:space="preserve"> Centre</w:t>
      </w:r>
      <w:r>
        <w:t>s.</w:t>
      </w:r>
    </w:p>
    <w:p w14:paraId="268553B2" w14:textId="584148EC" w:rsidR="004031EC" w:rsidRDefault="004031EC">
      <w:r>
        <w:t xml:space="preserve">Alternatively, LFC blocks may agree on performing Accounting and Settlement Process on LFC Block level, for which the LFC Block Operator shall send the relevant data aggregated for the LFC Block to the </w:t>
      </w:r>
      <w:r w:rsidR="002E2691">
        <w:t>Coordination</w:t>
      </w:r>
      <w:r w:rsidR="008D666C">
        <w:t xml:space="preserve"> Centre</w:t>
      </w:r>
      <w:r>
        <w:t>s</w:t>
      </w:r>
      <w:r w:rsidR="00082AC3">
        <w:t>, if all LFC areas of the LFC Block jointly agree on this. The list of LFC Blocks performing Accounting and Settlement Process on LFC Block level is included in C-10-4</w:t>
      </w:r>
      <w:r>
        <w:t xml:space="preserve">. </w:t>
      </w:r>
    </w:p>
    <w:p w14:paraId="0DCE7571" w14:textId="1999DC3E" w:rsidR="00A43E20" w:rsidRPr="00C87891" w:rsidRDefault="004031EC" w:rsidP="009331A7">
      <w:r>
        <w:t xml:space="preserve">The </w:t>
      </w:r>
      <w:r w:rsidR="009811C0">
        <w:t>Day-Ahead Market Prices (DAMPs)</w:t>
      </w:r>
      <w:r w:rsidR="00CB1BA6">
        <w:t xml:space="preserve"> are determined per LFC Block as detailed in Chapter </w:t>
      </w:r>
      <w:r w:rsidR="00655078">
        <w:fldChar w:fldCharType="begin"/>
      </w:r>
      <w:r w:rsidR="00655078">
        <w:instrText xml:space="preserve"> REF _Ref75847453 \r \h </w:instrText>
      </w:r>
      <w:r w:rsidR="00655078">
        <w:fldChar w:fldCharType="separate"/>
      </w:r>
      <w:r w:rsidR="009E7709">
        <w:t>C-6-2-1</w:t>
      </w:r>
      <w:r w:rsidR="00655078">
        <w:fldChar w:fldCharType="end"/>
      </w:r>
      <w:r w:rsidR="00A43E20" w:rsidRPr="00C87891">
        <w:br w:type="page"/>
      </w:r>
    </w:p>
    <w:p w14:paraId="447C2C38" w14:textId="77777777" w:rsidR="00723C31" w:rsidRPr="00C87891" w:rsidRDefault="00723C31" w:rsidP="00723C31">
      <w:pPr>
        <w:pStyle w:val="Heading2"/>
      </w:pPr>
      <w:bookmarkStart w:id="58" w:name="_Toc90297801"/>
      <w:r w:rsidRPr="00C87891">
        <w:t>Standards - General rules</w:t>
      </w:r>
      <w:bookmarkEnd w:id="58"/>
      <w:r w:rsidRPr="00C87891">
        <w:t xml:space="preserve"> </w:t>
      </w:r>
    </w:p>
    <w:p w14:paraId="6AB934B6" w14:textId="77777777" w:rsidR="00AB68C8" w:rsidRPr="00C87891" w:rsidRDefault="00AB68C8" w:rsidP="00AB68C8">
      <w:pPr>
        <w:pStyle w:val="Heading3"/>
      </w:pPr>
      <w:bookmarkStart w:id="59" w:name="_Toc90297802"/>
      <w:r w:rsidRPr="00C87891">
        <w:t>Accounting and Settlement Period</w:t>
      </w:r>
      <w:bookmarkEnd w:id="59"/>
      <w:r w:rsidRPr="00C87891">
        <w:t xml:space="preserve"> </w:t>
      </w:r>
    </w:p>
    <w:p w14:paraId="5E28182F" w14:textId="0A8C2CBC" w:rsidR="00AB68C8" w:rsidRPr="00C87891" w:rsidRDefault="00AB68C8" w:rsidP="00AB68C8">
      <w:r w:rsidRPr="00C87891">
        <w:t xml:space="preserve">The daily accounting and settlement is done for the day “D” </w:t>
      </w:r>
      <w:r w:rsidRPr="00C87891">
        <w:rPr>
          <w:lang w:val="en-US"/>
        </w:rPr>
        <w:t xml:space="preserve">on the next </w:t>
      </w:r>
      <w:r w:rsidR="00F2016E">
        <w:rPr>
          <w:lang w:val="en-US"/>
        </w:rPr>
        <w:t>W</w:t>
      </w:r>
      <w:r w:rsidRPr="00C87891">
        <w:rPr>
          <w:lang w:val="en-US"/>
        </w:rPr>
        <w:t xml:space="preserve">orking </w:t>
      </w:r>
      <w:r w:rsidR="00F2016E">
        <w:rPr>
          <w:lang w:val="en-US"/>
        </w:rPr>
        <w:t>D</w:t>
      </w:r>
      <w:r w:rsidRPr="00C87891">
        <w:rPr>
          <w:lang w:val="en-US"/>
        </w:rPr>
        <w:t xml:space="preserve">ay. </w:t>
      </w:r>
    </w:p>
    <w:p w14:paraId="4334BCC2" w14:textId="23EFBDDC" w:rsidR="00AB68C8" w:rsidRPr="00C87891" w:rsidRDefault="00AB68C8" w:rsidP="00AB68C8">
      <w:r w:rsidRPr="00C87891">
        <w:t xml:space="preserve">The </w:t>
      </w:r>
      <w:r w:rsidR="00197DA8">
        <w:t>monthly</w:t>
      </w:r>
      <w:r w:rsidR="00197DA8" w:rsidRPr="00C87891">
        <w:t xml:space="preserve"> </w:t>
      </w:r>
      <w:r w:rsidRPr="00C87891">
        <w:t xml:space="preserve">settlement is done for the </w:t>
      </w:r>
      <w:r w:rsidR="008A29D7">
        <w:t>calendar month</w:t>
      </w:r>
      <w:r w:rsidRPr="00C87891">
        <w:t>.</w:t>
      </w:r>
    </w:p>
    <w:p w14:paraId="593A37B7" w14:textId="77777777" w:rsidR="00723C31" w:rsidRPr="00C87891" w:rsidRDefault="00AB68C8" w:rsidP="00653067">
      <w:pPr>
        <w:pStyle w:val="Heading3"/>
      </w:pPr>
      <w:bookmarkStart w:id="60" w:name="_Ref523390360"/>
      <w:bookmarkStart w:id="61" w:name="_Toc90297803"/>
      <w:r w:rsidRPr="00C87891">
        <w:t>Availability</w:t>
      </w:r>
      <w:bookmarkEnd w:id="60"/>
      <w:bookmarkEnd w:id="61"/>
    </w:p>
    <w:p w14:paraId="29784E22" w14:textId="1175C599" w:rsidR="00723C31" w:rsidRPr="00C87891" w:rsidRDefault="00723C31" w:rsidP="00723C31">
      <w:r w:rsidRPr="00C87891">
        <w:t xml:space="preserve">Accounting offices have to be available on working days from 08:00 to </w:t>
      </w:r>
      <w:smartTag w:uri="urn:schemas-microsoft-com:office:smarttags" w:element="time">
        <w:smartTagPr>
          <w:attr w:name="Hour" w:val="11"/>
          <w:attr w:name="Minute" w:val="30"/>
        </w:smartTagPr>
        <w:r w:rsidRPr="00C87891">
          <w:t>11:30</w:t>
        </w:r>
      </w:smartTag>
      <w:r w:rsidRPr="00C87891">
        <w:t xml:space="preserve"> and 13:30 to 16:00 CET respectively CEST.</w:t>
      </w:r>
    </w:p>
    <w:p w14:paraId="075A425A" w14:textId="77777777" w:rsidR="00253994" w:rsidRPr="00C87891" w:rsidRDefault="00253994" w:rsidP="00653067">
      <w:pPr>
        <w:pStyle w:val="Heading3"/>
      </w:pPr>
      <w:bookmarkStart w:id="62" w:name="_Ref523401129"/>
      <w:bookmarkStart w:id="63" w:name="_Toc90297804"/>
      <w:r w:rsidRPr="00C87891">
        <w:t>Local exceptions</w:t>
      </w:r>
      <w:bookmarkEnd w:id="62"/>
      <w:bookmarkEnd w:id="63"/>
      <w:r w:rsidRPr="00C87891">
        <w:t xml:space="preserve"> </w:t>
      </w:r>
    </w:p>
    <w:p w14:paraId="2CB01B90" w14:textId="5B977D9E" w:rsidR="00253994" w:rsidRPr="00C87891" w:rsidRDefault="00253994" w:rsidP="00723C31">
      <w:r w:rsidRPr="00C87891">
        <w:t>In case of unavailability of an accounting office, e.g. system maintenance</w:t>
      </w:r>
      <w:r w:rsidR="008A29D7">
        <w:t>, local holidays</w:t>
      </w:r>
      <w:r w:rsidRPr="00C87891">
        <w:t xml:space="preserve">, the office in question must inform the </w:t>
      </w:r>
      <w:r w:rsidR="002E2691">
        <w:t>Coordination</w:t>
      </w:r>
      <w:r w:rsidR="008D666C">
        <w:t xml:space="preserve"> Centre</w:t>
      </w:r>
      <w:r w:rsidR="00F2016E">
        <w:t xml:space="preserve"> and other </w:t>
      </w:r>
      <w:r w:rsidR="008A29D7">
        <w:t>affected TSOs</w:t>
      </w:r>
      <w:r w:rsidRPr="00C87891">
        <w:t xml:space="preserve"> at least </w:t>
      </w:r>
      <w:r w:rsidR="00673708" w:rsidRPr="00C87891">
        <w:t xml:space="preserve">4 </w:t>
      </w:r>
      <w:r w:rsidR="008A29D7">
        <w:t>days</w:t>
      </w:r>
      <w:r w:rsidRPr="00C87891">
        <w:t xml:space="preserve"> before</w:t>
      </w:r>
      <w:r w:rsidRPr="00C87891">
        <w:rPr>
          <w:sz w:val="24"/>
          <w:szCs w:val="24"/>
        </w:rPr>
        <w:t>.</w:t>
      </w:r>
      <w:r w:rsidR="00F2016E" w:rsidRPr="00F2016E">
        <w:t xml:space="preserve"> In case of unexpected </w:t>
      </w:r>
      <w:r w:rsidR="004F2958">
        <w:t>un</w:t>
      </w:r>
      <w:r w:rsidR="00F2016E" w:rsidRPr="00F2016E">
        <w:t>availabilities, as soon as possible</w:t>
      </w:r>
      <w:r w:rsidR="00F2016E" w:rsidRPr="00082AC3">
        <w:t>.</w:t>
      </w:r>
    </w:p>
    <w:p w14:paraId="7B1E24DF" w14:textId="77777777" w:rsidR="00723C31" w:rsidRPr="00C87891" w:rsidRDefault="00723C31" w:rsidP="00653067">
      <w:pPr>
        <w:pStyle w:val="Heading3"/>
      </w:pPr>
      <w:bookmarkStart w:id="64" w:name="_Toc90297805"/>
      <w:r w:rsidRPr="00C87891">
        <w:t>Consideration of DC-links</w:t>
      </w:r>
      <w:bookmarkEnd w:id="64"/>
    </w:p>
    <w:p w14:paraId="4E797CBE" w14:textId="77777777" w:rsidR="00723C31" w:rsidRDefault="00BE6316" w:rsidP="00723C31">
      <w:r>
        <w:t>DC links between CE LFC areas will be conside</w:t>
      </w:r>
      <w:r w:rsidR="00BC73AB">
        <w:t>red in the SA CE Accounting and S</w:t>
      </w:r>
      <w:r>
        <w:t>ettlement process, only if they are considered</w:t>
      </w:r>
      <w:r w:rsidR="00C06B48">
        <w:t xml:space="preserve"> by both connecting TSOs</w:t>
      </w:r>
      <w:r>
        <w:t xml:space="preserve"> in the exchange programs and in the LFC</w:t>
      </w:r>
      <w:r w:rsidR="00BC73AB">
        <w:t xml:space="preserve"> Controller</w:t>
      </w:r>
      <w:r>
        <w:t>.</w:t>
      </w:r>
    </w:p>
    <w:p w14:paraId="27FB2CC4" w14:textId="3E920825" w:rsidR="004157C8" w:rsidRPr="00C87891" w:rsidRDefault="00BE6316" w:rsidP="00723C31">
      <w:r>
        <w:t xml:space="preserve">DC links between synchronous areas cannot be considered in the </w:t>
      </w:r>
      <w:r w:rsidR="007F3204">
        <w:t xml:space="preserve">SA CE </w:t>
      </w:r>
      <w:r>
        <w:t>accounting and settlement process.</w:t>
      </w:r>
    </w:p>
    <w:p w14:paraId="69F128E7" w14:textId="77777777" w:rsidR="00723C31" w:rsidRPr="00C87891" w:rsidRDefault="00723C31" w:rsidP="00653067">
      <w:pPr>
        <w:pStyle w:val="Heading3"/>
      </w:pPr>
      <w:bookmarkStart w:id="65" w:name="_Toc90297806"/>
      <w:r w:rsidRPr="00C87891">
        <w:t>Modification of the accounting process and related data</w:t>
      </w:r>
      <w:bookmarkEnd w:id="65"/>
    </w:p>
    <w:p w14:paraId="63BB0D9E" w14:textId="00D3D011" w:rsidR="00723C31" w:rsidRPr="00C87891" w:rsidRDefault="003D36C8" w:rsidP="00723C31">
      <w:r>
        <w:t>The SAFA parties</w:t>
      </w:r>
      <w:r w:rsidR="00723C31" w:rsidRPr="00C87891">
        <w:t xml:space="preserve"> must provide the complete and correct information about all issues affecting the </w:t>
      </w:r>
      <w:r w:rsidR="00BE1462" w:rsidRPr="00C87891">
        <w:t>Accounting Process</w:t>
      </w:r>
      <w:r w:rsidR="00723C31" w:rsidRPr="00C87891">
        <w:t xml:space="preserve"> e.g. new or changes of tie lines (including DC-links</w:t>
      </w:r>
      <w:r w:rsidR="009331A7" w:rsidRPr="00C87891">
        <w:t xml:space="preserve"> and virtual tie-lines</w:t>
      </w:r>
      <w:r w:rsidR="00723C31" w:rsidRPr="00C87891">
        <w:t xml:space="preserve">), etc. </w:t>
      </w:r>
    </w:p>
    <w:p w14:paraId="1A064F3A" w14:textId="0AD5553A" w:rsidR="00723C31" w:rsidRPr="00C87891" w:rsidRDefault="00723C31" w:rsidP="00723C31">
      <w:r w:rsidRPr="00C87891">
        <w:t xml:space="preserve">In case of changes the requesting TSO must inform the affected TSO and </w:t>
      </w:r>
      <w:r w:rsidR="002E2691">
        <w:t>Coordination</w:t>
      </w:r>
      <w:r w:rsidR="008D666C">
        <w:t xml:space="preserve"> Centre</w:t>
      </w:r>
      <w:r w:rsidRPr="00C87891">
        <w:t xml:space="preserve"> at least 30 </w:t>
      </w:r>
      <w:r w:rsidR="00F04836">
        <w:t xml:space="preserve">calendar </w:t>
      </w:r>
      <w:r w:rsidRPr="00C87891">
        <w:t xml:space="preserve">days in advance by means of the registration </w:t>
      </w:r>
      <w:r w:rsidR="004D6757" w:rsidRPr="00C87891">
        <w:t>form</w:t>
      </w:r>
      <w:r w:rsidR="00BE1462" w:rsidRPr="00C87891">
        <w:t xml:space="preserve"> in </w:t>
      </w:r>
      <w:r w:rsidR="00BE1462" w:rsidRPr="00C87891">
        <w:fldChar w:fldCharType="begin"/>
      </w:r>
      <w:r w:rsidR="00BE1462" w:rsidRPr="00C87891">
        <w:instrText xml:space="preserve"> REF _Ref523403155 \r \h </w:instrText>
      </w:r>
      <w:r w:rsidR="00C87891">
        <w:instrText xml:space="preserve"> \* MERGEFORMAT </w:instrText>
      </w:r>
      <w:r w:rsidR="00BE1462" w:rsidRPr="00C87891">
        <w:fldChar w:fldCharType="separate"/>
      </w:r>
      <w:r w:rsidR="009E7709">
        <w:t>C-12-3</w:t>
      </w:r>
      <w:r w:rsidR="00BE1462" w:rsidRPr="00C87891">
        <w:fldChar w:fldCharType="end"/>
      </w:r>
      <w:r w:rsidR="004D6757" w:rsidRPr="00C87891">
        <w:t>.</w:t>
      </w:r>
    </w:p>
    <w:p w14:paraId="7F1A1BF7" w14:textId="77777777" w:rsidR="00FA21A7" w:rsidRPr="00C87891" w:rsidRDefault="00FA21A7" w:rsidP="00AB68C8">
      <w:pPr>
        <w:pStyle w:val="Heading3"/>
      </w:pPr>
      <w:bookmarkStart w:id="66" w:name="_Toc90297807"/>
      <w:r w:rsidRPr="00C87891">
        <w:t>Rounding rules</w:t>
      </w:r>
      <w:bookmarkEnd w:id="66"/>
    </w:p>
    <w:p w14:paraId="27AFBFE7" w14:textId="07706AD3" w:rsidR="00FA21A7" w:rsidRDefault="00AD5F99" w:rsidP="00FA21A7">
      <w:r w:rsidRPr="00C87891">
        <w:t>Generally,</w:t>
      </w:r>
      <w:r w:rsidR="00FA21A7" w:rsidRPr="00C87891">
        <w:t xml:space="preserve"> the data exchanged is in MWh</w:t>
      </w:r>
      <w:r w:rsidR="00F2016E">
        <w:t xml:space="preserve"> with 3 decimal places (kWh precision)</w:t>
      </w:r>
      <w:r w:rsidR="00FA21A7" w:rsidRPr="00C87891">
        <w:t xml:space="preserve">. </w:t>
      </w:r>
    </w:p>
    <w:p w14:paraId="1C61CD6C" w14:textId="377F92C8" w:rsidR="004157C8" w:rsidRDefault="004157C8" w:rsidP="004157C8">
      <w:r>
        <w:t>The following rounding rules will be considered in the calculations</w:t>
      </w:r>
      <w:r w:rsidR="00F2016E">
        <w:t xml:space="preserve"> by </w:t>
      </w:r>
      <w:r w:rsidR="002E2691">
        <w:t>Coordination</w:t>
      </w:r>
      <w:r w:rsidR="008D666C">
        <w:t xml:space="preserve"> Centre</w:t>
      </w:r>
      <w:r w:rsidR="00F2016E">
        <w:t>s</w:t>
      </w:r>
      <w:r>
        <w:t xml:space="preserve">: </w:t>
      </w:r>
    </w:p>
    <w:p w14:paraId="6F126D2A" w14:textId="00491DF9" w:rsidR="004157C8" w:rsidRDefault="004157C8" w:rsidP="004157C8">
      <w:pPr>
        <w:numPr>
          <w:ilvl w:val="0"/>
          <w:numId w:val="57"/>
        </w:numPr>
        <w:rPr>
          <w:lang w:val="es-ES"/>
        </w:rPr>
      </w:pPr>
      <w:r>
        <w:rPr>
          <w:lang w:val="de-DE"/>
        </w:rPr>
        <w:t>For input data:</w:t>
      </w:r>
    </w:p>
    <w:p w14:paraId="7307AE1E" w14:textId="12D99E29" w:rsidR="004F2958" w:rsidRDefault="004F2958" w:rsidP="004157C8">
      <w:pPr>
        <w:numPr>
          <w:ilvl w:val="1"/>
          <w:numId w:val="57"/>
        </w:numPr>
        <w:rPr>
          <w:lang w:val="en-US"/>
        </w:rPr>
      </w:pPr>
      <w:r>
        <w:rPr>
          <w:lang w:val="en-US"/>
        </w:rPr>
        <w:t>Energy volumes (MWh) with 3 decimal places</w:t>
      </w:r>
    </w:p>
    <w:p w14:paraId="30F2E8A8" w14:textId="4AC141D7" w:rsidR="004157C8" w:rsidRPr="002C70EF" w:rsidRDefault="004157C8" w:rsidP="004157C8">
      <w:pPr>
        <w:numPr>
          <w:ilvl w:val="1"/>
          <w:numId w:val="57"/>
        </w:numPr>
        <w:rPr>
          <w:lang w:val="en-US"/>
        </w:rPr>
      </w:pPr>
      <w:r w:rsidRPr="00196B92">
        <w:rPr>
          <w:lang w:val="en-US"/>
        </w:rPr>
        <w:t>K-</w:t>
      </w:r>
      <w:r w:rsidR="007F79FA">
        <w:rPr>
          <w:lang w:val="en-US"/>
        </w:rPr>
        <w:t>f</w:t>
      </w:r>
      <w:r w:rsidRPr="00196B92">
        <w:rPr>
          <w:lang w:val="en-US"/>
        </w:rPr>
        <w:t>actors (MW/Hz)</w:t>
      </w:r>
      <w:r w:rsidR="00196B92">
        <w:rPr>
          <w:lang w:val="en-US"/>
        </w:rPr>
        <w:t xml:space="preserve"> with 3 decimal places.</w:t>
      </w:r>
    </w:p>
    <w:p w14:paraId="71D44D5E" w14:textId="35F5791E" w:rsidR="004157C8" w:rsidRDefault="004157C8" w:rsidP="004157C8">
      <w:pPr>
        <w:numPr>
          <w:ilvl w:val="1"/>
          <w:numId w:val="57"/>
        </w:numPr>
        <w:rPr>
          <w:lang w:val="en-US"/>
        </w:rPr>
      </w:pPr>
      <w:r w:rsidRPr="00196B92">
        <w:rPr>
          <w:lang w:val="en-US"/>
        </w:rPr>
        <w:t xml:space="preserve">DAMP (Eur/MWh) with 2 decimal places </w:t>
      </w:r>
      <w:r w:rsidR="00F2016E">
        <w:rPr>
          <w:lang w:val="en-US"/>
        </w:rPr>
        <w:t>(cent precision)</w:t>
      </w:r>
    </w:p>
    <w:p w14:paraId="78A91544" w14:textId="20E22DBB" w:rsidR="004157C8" w:rsidRDefault="004157C8" w:rsidP="004157C8">
      <w:pPr>
        <w:numPr>
          <w:ilvl w:val="1"/>
          <w:numId w:val="57"/>
        </w:numPr>
        <w:rPr>
          <w:lang w:val="en-US"/>
        </w:rPr>
      </w:pPr>
      <w:r w:rsidRPr="00196B92">
        <w:rPr>
          <w:lang w:val="en-US"/>
        </w:rPr>
        <w:t xml:space="preserve">Frequency deviation (mHz) with </w:t>
      </w:r>
      <w:r w:rsidR="00196B92">
        <w:rPr>
          <w:lang w:val="en-US"/>
        </w:rPr>
        <w:t>3 decimal places</w:t>
      </w:r>
    </w:p>
    <w:p w14:paraId="09A1D74E" w14:textId="77777777" w:rsidR="004157C8" w:rsidRDefault="004157C8" w:rsidP="004157C8">
      <w:pPr>
        <w:numPr>
          <w:ilvl w:val="0"/>
          <w:numId w:val="57"/>
        </w:numPr>
        <w:rPr>
          <w:lang w:val="es-ES"/>
        </w:rPr>
      </w:pPr>
      <w:r>
        <w:rPr>
          <w:lang w:val="de-DE"/>
        </w:rPr>
        <w:t>Calculation steps:</w:t>
      </w:r>
    </w:p>
    <w:p w14:paraId="20CD79B8" w14:textId="342ED5C1" w:rsidR="004157C8" w:rsidRDefault="004157C8" w:rsidP="004157C8">
      <w:pPr>
        <w:numPr>
          <w:ilvl w:val="1"/>
          <w:numId w:val="57"/>
        </w:numPr>
        <w:rPr>
          <w:lang w:val="en-US"/>
        </w:rPr>
      </w:pPr>
      <w:r w:rsidRPr="00196B92">
        <w:rPr>
          <w:lang w:val="en-US"/>
        </w:rPr>
        <w:t xml:space="preserve">Calculation of RP energy: MWh with 3 decimal places (kWh </w:t>
      </w:r>
      <w:r w:rsidR="00F2016E">
        <w:rPr>
          <w:lang w:val="en-US"/>
        </w:rPr>
        <w:t>precision</w:t>
      </w:r>
      <w:r w:rsidRPr="00196B92">
        <w:rPr>
          <w:lang w:val="en-US"/>
        </w:rPr>
        <w:t xml:space="preserve">), rounded commercially. Rounding differences are </w:t>
      </w:r>
      <w:r w:rsidR="00073C83">
        <w:rPr>
          <w:lang w:val="en-US"/>
        </w:rPr>
        <w:t>taken into account</w:t>
      </w:r>
      <w:r w:rsidRPr="00196B92">
        <w:rPr>
          <w:lang w:val="en-US"/>
        </w:rPr>
        <w:t xml:space="preserve"> by </w:t>
      </w:r>
      <w:r w:rsidR="0037032E">
        <w:rPr>
          <w:lang w:val="en-US"/>
        </w:rPr>
        <w:t xml:space="preserve">the </w:t>
      </w:r>
      <w:r w:rsidR="002E2691">
        <w:rPr>
          <w:lang w:val="en-US"/>
        </w:rPr>
        <w:t>Coordination</w:t>
      </w:r>
      <w:r w:rsidR="0037032E">
        <w:rPr>
          <w:lang w:val="en-US"/>
        </w:rPr>
        <w:t xml:space="preserve"> Centres</w:t>
      </w:r>
      <w:r w:rsidRPr="00196B92">
        <w:rPr>
          <w:lang w:val="en-US"/>
        </w:rPr>
        <w:t xml:space="preserve"> respectively, to ensure the sum of RP energy is zero.</w:t>
      </w:r>
    </w:p>
    <w:p w14:paraId="05C34C08" w14:textId="27164443" w:rsidR="004157C8" w:rsidRDefault="004157C8" w:rsidP="004157C8">
      <w:pPr>
        <w:numPr>
          <w:ilvl w:val="1"/>
          <w:numId w:val="57"/>
        </w:numPr>
        <w:rPr>
          <w:lang w:val="en-US"/>
        </w:rPr>
      </w:pPr>
      <w:r w:rsidRPr="00196B92">
        <w:rPr>
          <w:lang w:val="en-US"/>
        </w:rPr>
        <w:t xml:space="preserve">Calculation of FCP energy: MWh with 3 decimal places (kWh </w:t>
      </w:r>
      <w:r w:rsidR="00F2016E">
        <w:rPr>
          <w:lang w:val="en-US"/>
        </w:rPr>
        <w:t>precision</w:t>
      </w:r>
      <w:r w:rsidRPr="00196B92">
        <w:rPr>
          <w:lang w:val="en-US"/>
        </w:rPr>
        <w:t>), rounded commercially.</w:t>
      </w:r>
    </w:p>
    <w:p w14:paraId="30488D9F" w14:textId="03CB1174" w:rsidR="004157C8" w:rsidRDefault="004157C8" w:rsidP="004157C8">
      <w:pPr>
        <w:numPr>
          <w:ilvl w:val="1"/>
          <w:numId w:val="57"/>
        </w:numPr>
        <w:rPr>
          <w:lang w:val="en-US"/>
        </w:rPr>
      </w:pPr>
      <w:r w:rsidRPr="00196B92">
        <w:rPr>
          <w:lang w:val="en-US"/>
        </w:rPr>
        <w:t>Calculation of UE</w:t>
      </w:r>
      <w:r w:rsidR="001A6B98">
        <w:rPr>
          <w:lang w:val="en-US"/>
        </w:rPr>
        <w:t xml:space="preserve"> energy</w:t>
      </w:r>
      <w:r w:rsidRPr="00196B92">
        <w:rPr>
          <w:lang w:val="en-US"/>
        </w:rPr>
        <w:t xml:space="preserve">: MWh with 3 decimal places (kWh </w:t>
      </w:r>
      <w:r w:rsidR="00F2016E">
        <w:rPr>
          <w:lang w:val="en-US"/>
        </w:rPr>
        <w:t>precision</w:t>
      </w:r>
      <w:r w:rsidRPr="00196B92">
        <w:rPr>
          <w:lang w:val="en-US"/>
        </w:rPr>
        <w:t xml:space="preserve">), rounded commercially. Rounding differences are </w:t>
      </w:r>
      <w:r w:rsidR="00073C83">
        <w:rPr>
          <w:lang w:val="en-US"/>
        </w:rPr>
        <w:t>taken into account</w:t>
      </w:r>
      <w:r w:rsidRPr="00196B92">
        <w:rPr>
          <w:lang w:val="en-US"/>
        </w:rPr>
        <w:t xml:space="preserve"> by </w:t>
      </w:r>
      <w:r w:rsidR="0037032E">
        <w:rPr>
          <w:lang w:val="en-US"/>
        </w:rPr>
        <w:t xml:space="preserve">the </w:t>
      </w:r>
      <w:r w:rsidR="002E2691">
        <w:rPr>
          <w:lang w:val="en-US"/>
        </w:rPr>
        <w:t>Coordination</w:t>
      </w:r>
      <w:r w:rsidR="0037032E">
        <w:rPr>
          <w:lang w:val="en-US"/>
        </w:rPr>
        <w:t xml:space="preserve"> Centres</w:t>
      </w:r>
      <w:r w:rsidRPr="00196B92">
        <w:rPr>
          <w:lang w:val="en-US"/>
        </w:rPr>
        <w:t xml:space="preserve"> respectively, to ensure the sum of UE</w:t>
      </w:r>
      <w:r w:rsidR="00073C83">
        <w:rPr>
          <w:lang w:val="en-US"/>
        </w:rPr>
        <w:t xml:space="preserve"> and FCP energy</w:t>
      </w:r>
      <w:r w:rsidRPr="00196B92">
        <w:rPr>
          <w:lang w:val="en-US"/>
        </w:rPr>
        <w:t xml:space="preserve"> is zero.</w:t>
      </w:r>
    </w:p>
    <w:p w14:paraId="6A6DE7DF" w14:textId="5855ECB7" w:rsidR="004157C8" w:rsidRDefault="004157C8" w:rsidP="004157C8">
      <w:pPr>
        <w:numPr>
          <w:ilvl w:val="1"/>
          <w:numId w:val="57"/>
        </w:numPr>
        <w:rPr>
          <w:lang w:val="en-US"/>
        </w:rPr>
      </w:pPr>
      <w:r w:rsidRPr="00196B92">
        <w:rPr>
          <w:lang w:val="en-US"/>
        </w:rPr>
        <w:t>Calculation of price for FCP energy and UE</w:t>
      </w:r>
      <w:r w:rsidR="001A6B98">
        <w:rPr>
          <w:lang w:val="en-US"/>
        </w:rPr>
        <w:t xml:space="preserve"> energy</w:t>
      </w:r>
      <w:r w:rsidRPr="00196B92">
        <w:rPr>
          <w:lang w:val="en-US"/>
        </w:rPr>
        <w:t>: Euro with 2 decimal places, rounded commercially</w:t>
      </w:r>
    </w:p>
    <w:p w14:paraId="1565516C" w14:textId="2069356E" w:rsidR="004157C8" w:rsidRDefault="00073C83" w:rsidP="004157C8">
      <w:pPr>
        <w:numPr>
          <w:ilvl w:val="1"/>
          <w:numId w:val="57"/>
        </w:numPr>
        <w:rPr>
          <w:lang w:val="en-US"/>
        </w:rPr>
      </w:pPr>
      <w:r>
        <w:rPr>
          <w:lang w:val="en-US"/>
        </w:rPr>
        <w:t>Monetary values</w:t>
      </w:r>
      <w:r w:rsidR="004157C8" w:rsidRPr="00196B92">
        <w:rPr>
          <w:lang w:val="en-US"/>
        </w:rPr>
        <w:t xml:space="preserve"> (settlement volumes multiplied the prices): Euro with 2 decimal places, rounded commercially. Rounding differences are </w:t>
      </w:r>
      <w:r>
        <w:rPr>
          <w:lang w:val="en-US"/>
        </w:rPr>
        <w:t>taken into account</w:t>
      </w:r>
      <w:r w:rsidR="004157C8" w:rsidRPr="00196B92">
        <w:rPr>
          <w:lang w:val="en-US"/>
        </w:rPr>
        <w:t xml:space="preserve"> by </w:t>
      </w:r>
      <w:r w:rsidR="0037032E">
        <w:rPr>
          <w:lang w:val="en-US"/>
        </w:rPr>
        <w:t xml:space="preserve">the </w:t>
      </w:r>
      <w:r w:rsidR="002E2691">
        <w:rPr>
          <w:lang w:val="en-US"/>
        </w:rPr>
        <w:t>Coordination</w:t>
      </w:r>
      <w:r w:rsidR="0037032E">
        <w:rPr>
          <w:lang w:val="en-US"/>
        </w:rPr>
        <w:t xml:space="preserve"> Centres </w:t>
      </w:r>
      <w:r w:rsidR="004157C8" w:rsidRPr="00196B92">
        <w:rPr>
          <w:lang w:val="en-US"/>
        </w:rPr>
        <w:t xml:space="preserve">respectively, to ensure the sum is zero. </w:t>
      </w:r>
    </w:p>
    <w:p w14:paraId="67692FB6" w14:textId="77777777" w:rsidR="00196B92" w:rsidRDefault="004157C8" w:rsidP="004157C8">
      <w:pPr>
        <w:numPr>
          <w:ilvl w:val="0"/>
          <w:numId w:val="57"/>
        </w:numPr>
        <w:rPr>
          <w:lang w:val="en-US"/>
        </w:rPr>
      </w:pPr>
      <w:r w:rsidRPr="00196B92">
        <w:rPr>
          <w:lang w:val="en-US"/>
        </w:rPr>
        <w:t xml:space="preserve">For sake of clarity: </w:t>
      </w:r>
    </w:p>
    <w:p w14:paraId="468EB2DD" w14:textId="77777777" w:rsidR="00196B92" w:rsidRDefault="004157C8" w:rsidP="00196B92">
      <w:pPr>
        <w:numPr>
          <w:ilvl w:val="1"/>
          <w:numId w:val="57"/>
        </w:numPr>
        <w:rPr>
          <w:lang w:val="en-US"/>
        </w:rPr>
      </w:pPr>
      <w:r w:rsidRPr="00196B92">
        <w:rPr>
          <w:lang w:val="en-US"/>
        </w:rPr>
        <w:t xml:space="preserve">24,0005 rounds to 24,001; </w:t>
      </w:r>
    </w:p>
    <w:p w14:paraId="43301485" w14:textId="77777777" w:rsidR="00196B92" w:rsidRDefault="004157C8" w:rsidP="00196B92">
      <w:pPr>
        <w:numPr>
          <w:ilvl w:val="1"/>
          <w:numId w:val="57"/>
        </w:numPr>
        <w:rPr>
          <w:lang w:val="en-US"/>
        </w:rPr>
      </w:pPr>
      <w:r w:rsidRPr="00196B92">
        <w:rPr>
          <w:lang w:val="en-US"/>
        </w:rPr>
        <w:t xml:space="preserve">-24,0005 rounds to -24,001 </w:t>
      </w:r>
    </w:p>
    <w:p w14:paraId="477A600E" w14:textId="454DB00A" w:rsidR="004157C8" w:rsidRPr="009269CB" w:rsidRDefault="004157C8" w:rsidP="00632FF6">
      <w:pPr>
        <w:numPr>
          <w:ilvl w:val="1"/>
          <w:numId w:val="57"/>
        </w:numPr>
        <w:rPr>
          <w:lang w:val="en-US"/>
        </w:rPr>
      </w:pPr>
      <w:r w:rsidRPr="00196B92">
        <w:rPr>
          <w:lang w:val="en-US"/>
        </w:rPr>
        <w:t>and 24,00049</w:t>
      </w:r>
      <w:r w:rsidR="00196B92">
        <w:rPr>
          <w:lang w:val="en-US"/>
        </w:rPr>
        <w:t xml:space="preserve"> rounds to</w:t>
      </w:r>
      <w:r w:rsidRPr="00196B92">
        <w:rPr>
          <w:lang w:val="en-US"/>
        </w:rPr>
        <w:t xml:space="preserve"> 24,000</w:t>
      </w:r>
    </w:p>
    <w:p w14:paraId="7C94D9CC" w14:textId="77777777" w:rsidR="00FA21A7" w:rsidRPr="00C87891" w:rsidRDefault="00FA21A7" w:rsidP="00AB68C8">
      <w:pPr>
        <w:pStyle w:val="Heading3"/>
      </w:pPr>
      <w:bookmarkStart w:id="67" w:name="_Toc54000687"/>
      <w:bookmarkStart w:id="68" w:name="_Toc54000688"/>
      <w:bookmarkStart w:id="69" w:name="_Toc90297808"/>
      <w:bookmarkEnd w:id="67"/>
      <w:bookmarkEnd w:id="68"/>
      <w:r w:rsidRPr="00C87891">
        <w:t>Electronic Data Exchange</w:t>
      </w:r>
      <w:bookmarkEnd w:id="69"/>
      <w:r w:rsidRPr="00C87891">
        <w:t xml:space="preserve"> </w:t>
      </w:r>
    </w:p>
    <w:p w14:paraId="757469EE" w14:textId="27E0F386" w:rsidR="00FA21A7" w:rsidRPr="00C87891" w:rsidRDefault="00FA21A7" w:rsidP="00FA21A7">
      <w:r w:rsidRPr="00C87891">
        <w:t>Electronic data exchange for accounting and settlement is required using e-mail via EH. If the e-mail via EH is disturbed, an electronic back-up must be agreed such as e-mail via internet . If electronic communication is generally disturbed, fax or phone must be used as last back-up.</w:t>
      </w:r>
    </w:p>
    <w:p w14:paraId="0E10D55C" w14:textId="77777777" w:rsidR="00676775" w:rsidRPr="00C87891" w:rsidRDefault="00BE1462" w:rsidP="00AB68C8">
      <w:pPr>
        <w:pStyle w:val="Heading3"/>
      </w:pPr>
      <w:bookmarkStart w:id="70" w:name="_Ref523390386"/>
      <w:bookmarkStart w:id="71" w:name="_Toc90297809"/>
      <w:r w:rsidRPr="00C87891">
        <w:t>Trouble</w:t>
      </w:r>
      <w:r w:rsidR="00676775" w:rsidRPr="00C87891">
        <w:t>shooting</w:t>
      </w:r>
      <w:bookmarkEnd w:id="70"/>
      <w:bookmarkEnd w:id="71"/>
      <w:r w:rsidR="00676775" w:rsidRPr="00C87891">
        <w:t xml:space="preserve"> </w:t>
      </w:r>
    </w:p>
    <w:p w14:paraId="36D5F4AD" w14:textId="0A47AB7A" w:rsidR="00676775" w:rsidRDefault="00676775" w:rsidP="5BCF031F">
      <w:r w:rsidRPr="00C87891">
        <w:t xml:space="preserve">If the </w:t>
      </w:r>
      <w:r w:rsidR="00E249D9" w:rsidRPr="00C87891">
        <w:t>Accounting and Settlement Process</w:t>
      </w:r>
      <w:r w:rsidRPr="00C87891">
        <w:t xml:space="preserve"> cannot be performed like described</w:t>
      </w:r>
      <w:r w:rsidR="0054192A" w:rsidRPr="00C87891">
        <w:t>,</w:t>
      </w:r>
      <w:r w:rsidRPr="00C87891">
        <w:t xml:space="preserve"> the affected </w:t>
      </w:r>
      <w:r w:rsidR="00E43FE3">
        <w:t xml:space="preserve">TSO </w:t>
      </w:r>
      <w:r w:rsidRPr="00C87891">
        <w:t xml:space="preserve">must inform </w:t>
      </w:r>
      <w:r w:rsidR="00203E32">
        <w:t>without undue delay</w:t>
      </w:r>
      <w:r w:rsidR="00203E32" w:rsidRPr="00C87891">
        <w:t xml:space="preserve"> </w:t>
      </w:r>
      <w:r w:rsidRPr="00C87891">
        <w:t xml:space="preserve">the </w:t>
      </w:r>
      <w:r w:rsidR="00C46627">
        <w:t xml:space="preserve">affected TSO and </w:t>
      </w:r>
      <w:r w:rsidRPr="00C87891">
        <w:t xml:space="preserve">the related </w:t>
      </w:r>
      <w:r w:rsidR="002E2691">
        <w:t>Coordination</w:t>
      </w:r>
      <w:r w:rsidR="008D666C">
        <w:t xml:space="preserve"> Centre</w:t>
      </w:r>
      <w:r w:rsidR="002B35B9">
        <w:t>.</w:t>
      </w:r>
      <w:r w:rsidRPr="00C87891">
        <w:t xml:space="preserve"> The </w:t>
      </w:r>
      <w:r w:rsidR="002E2691">
        <w:t>Coordination</w:t>
      </w:r>
      <w:r w:rsidR="008D666C">
        <w:t xml:space="preserve"> Centre</w:t>
      </w:r>
      <w:r w:rsidR="00E249D9" w:rsidRPr="00C87891">
        <w:t>s</w:t>
      </w:r>
      <w:r w:rsidRPr="00C87891">
        <w:t xml:space="preserve"> then inform all </w:t>
      </w:r>
      <w:r w:rsidR="00D92FE4" w:rsidRPr="00C87891">
        <w:t xml:space="preserve">SA </w:t>
      </w:r>
      <w:r w:rsidRPr="00C87891">
        <w:t xml:space="preserve">CE </w:t>
      </w:r>
      <w:r w:rsidR="001A6B98">
        <w:t xml:space="preserve">affected </w:t>
      </w:r>
      <w:r w:rsidR="00C46627">
        <w:t>TSOs</w:t>
      </w:r>
      <w:r w:rsidRPr="00C87891">
        <w:t xml:space="preserve"> </w:t>
      </w:r>
      <w:r w:rsidR="00203E32">
        <w:t>without undue delay</w:t>
      </w:r>
      <w:r w:rsidR="007F79FA">
        <w:t>.</w:t>
      </w:r>
      <w:r w:rsidR="001A6B98">
        <w:t xml:space="preserve"> </w:t>
      </w:r>
      <w:r w:rsidRPr="00C87891">
        <w:t xml:space="preserve">Both </w:t>
      </w:r>
      <w:r w:rsidR="002E2691">
        <w:t>Coordination</w:t>
      </w:r>
      <w:r w:rsidR="008D666C">
        <w:t xml:space="preserve"> Centre</w:t>
      </w:r>
      <w:r w:rsidR="00E249D9" w:rsidRPr="00C87891">
        <w:t>s</w:t>
      </w:r>
      <w:r w:rsidRPr="00C87891">
        <w:t xml:space="preserve"> will agree on a solution and inform the related </w:t>
      </w:r>
      <w:r w:rsidR="00C46627">
        <w:t xml:space="preserve">TSOs </w:t>
      </w:r>
      <w:r w:rsidR="004D51F1" w:rsidRPr="004D51F1">
        <w:t xml:space="preserve"> </w:t>
      </w:r>
      <w:r w:rsidR="004D51F1">
        <w:t>without undue delay</w:t>
      </w:r>
      <w:r w:rsidR="004D51F1" w:rsidRPr="00C87891">
        <w:t>.</w:t>
      </w:r>
    </w:p>
    <w:p w14:paraId="4042F042" w14:textId="77777777" w:rsidR="00C93731" w:rsidRPr="00C87891" w:rsidRDefault="00C93731" w:rsidP="00723C31"/>
    <w:p w14:paraId="48CA5339" w14:textId="6E454D84" w:rsidR="00736A9B" w:rsidRPr="00C87891" w:rsidRDefault="00736A9B" w:rsidP="00727D87">
      <w:r w:rsidRPr="00C87891">
        <w:br w:type="page"/>
      </w:r>
    </w:p>
    <w:p w14:paraId="14E77EBC" w14:textId="73BBC3ED" w:rsidR="00723C31" w:rsidRPr="00C87891" w:rsidRDefault="00723C31" w:rsidP="00723C31">
      <w:pPr>
        <w:pStyle w:val="Heading2"/>
      </w:pPr>
      <w:bookmarkStart w:id="72" w:name="_Toc90297810"/>
      <w:r w:rsidRPr="00C87891">
        <w:t>Standards - Bilateral agreement for the accounting/settlement process</w:t>
      </w:r>
      <w:bookmarkEnd w:id="72"/>
    </w:p>
    <w:p w14:paraId="0FF5C1A6" w14:textId="37B92F9E" w:rsidR="00723C31" w:rsidRPr="00C87891" w:rsidRDefault="00723C31" w:rsidP="00723C31">
      <w:pPr>
        <w:rPr>
          <w:rFonts w:ascii="Arial" w:hAnsi="Arial" w:cs="Arial"/>
        </w:rPr>
      </w:pPr>
      <w:r w:rsidRPr="00C87891">
        <w:rPr>
          <w:rFonts w:ascii="Arial" w:hAnsi="Arial" w:cs="Arial"/>
        </w:rPr>
        <w:t xml:space="preserve">In order to perform the </w:t>
      </w:r>
      <w:r w:rsidR="00E249D9" w:rsidRPr="00C87891">
        <w:rPr>
          <w:rFonts w:ascii="Arial" w:hAnsi="Arial" w:cs="Arial"/>
        </w:rPr>
        <w:t>Accounting and Settlement Process</w:t>
      </w:r>
      <w:r w:rsidRPr="00C87891">
        <w:rPr>
          <w:rFonts w:ascii="Arial" w:hAnsi="Arial" w:cs="Arial"/>
        </w:rPr>
        <w:t xml:space="preserve"> in a correct manner</w:t>
      </w:r>
      <w:r w:rsidR="00E249D9" w:rsidRPr="00C87891">
        <w:rPr>
          <w:rFonts w:ascii="Arial" w:hAnsi="Arial" w:cs="Arial"/>
        </w:rPr>
        <w:t xml:space="preserve"> </w:t>
      </w:r>
      <w:r w:rsidRPr="00C87891">
        <w:rPr>
          <w:rFonts w:ascii="Arial" w:hAnsi="Arial" w:cs="Arial"/>
        </w:rPr>
        <w:t xml:space="preserve">the partners of a common border have to </w:t>
      </w:r>
      <w:r w:rsidR="00082AC3">
        <w:rPr>
          <w:rFonts w:ascii="Arial" w:hAnsi="Arial" w:cs="Arial"/>
        </w:rPr>
        <w:t>agree bilaterally</w:t>
      </w:r>
      <w:r w:rsidRPr="00C87891">
        <w:rPr>
          <w:rFonts w:ascii="Arial" w:hAnsi="Arial" w:cs="Arial"/>
        </w:rPr>
        <w:t xml:space="preserve"> </w:t>
      </w:r>
      <w:r w:rsidR="00C815CF">
        <w:rPr>
          <w:rFonts w:ascii="Arial" w:hAnsi="Arial" w:cs="Arial"/>
        </w:rPr>
        <w:t xml:space="preserve">on </w:t>
      </w:r>
      <w:r w:rsidR="00082AC3">
        <w:rPr>
          <w:rFonts w:ascii="Arial" w:hAnsi="Arial" w:cs="Arial"/>
        </w:rPr>
        <w:t xml:space="preserve">accounting </w:t>
      </w:r>
      <w:r w:rsidR="00C815CF">
        <w:rPr>
          <w:rFonts w:ascii="Arial" w:hAnsi="Arial" w:cs="Arial"/>
        </w:rPr>
        <w:t xml:space="preserve">metering data </w:t>
      </w:r>
      <w:r w:rsidR="00082AC3">
        <w:rPr>
          <w:rFonts w:ascii="Arial" w:hAnsi="Arial" w:cs="Arial"/>
        </w:rPr>
        <w:t>with respect to</w:t>
      </w:r>
      <w:r w:rsidRPr="00C87891">
        <w:rPr>
          <w:rFonts w:ascii="Arial" w:hAnsi="Arial" w:cs="Arial"/>
        </w:rPr>
        <w:t xml:space="preserve"> the following document: ENTSO-E </w:t>
      </w:r>
      <w:r w:rsidR="009331A7" w:rsidRPr="00C87891">
        <w:rPr>
          <w:rFonts w:ascii="Arial" w:hAnsi="Arial" w:cs="Arial"/>
        </w:rPr>
        <w:t>Guide for Agreement on Data Exchange Process for Accounting of Unintentional Deviation</w:t>
      </w:r>
      <w:r w:rsidRPr="00C87891">
        <w:rPr>
          <w:rFonts w:ascii="Arial" w:hAnsi="Arial" w:cs="Arial"/>
        </w:rPr>
        <w:t xml:space="preserve"> and including the following items:</w:t>
      </w:r>
    </w:p>
    <w:p w14:paraId="6212BE7E" w14:textId="77777777" w:rsidR="00723C31" w:rsidRPr="00C87891" w:rsidRDefault="00723C31" w:rsidP="00AB68C8">
      <w:pPr>
        <w:pStyle w:val="Heading3"/>
      </w:pPr>
      <w:bookmarkStart w:id="73" w:name="_Ref219864094"/>
      <w:bookmarkStart w:id="74" w:name="_Toc90297811"/>
      <w:r w:rsidRPr="00C87891">
        <w:t xml:space="preserve">List of </w:t>
      </w:r>
      <w:r w:rsidR="00A74A8E" w:rsidRPr="00C87891">
        <w:t>tie-lines</w:t>
      </w:r>
      <w:r w:rsidRPr="00C87891">
        <w:t>, meter measurement and accounting data</w:t>
      </w:r>
      <w:bookmarkEnd w:id="73"/>
      <w:bookmarkEnd w:id="74"/>
      <w:r w:rsidR="006451E3">
        <w:t xml:space="preserve"> </w:t>
      </w:r>
    </w:p>
    <w:p w14:paraId="0422C2AA" w14:textId="5CA3092F" w:rsidR="00723C31" w:rsidRPr="00C87891" w:rsidRDefault="00723C31" w:rsidP="00723C31">
      <w:r w:rsidRPr="00C87891">
        <w:t>TSO</w:t>
      </w:r>
      <w:r w:rsidR="00AB68C8" w:rsidRPr="00C87891">
        <w:t>s</w:t>
      </w:r>
      <w:r w:rsidRPr="00C87891">
        <w:t xml:space="preserve"> have to agree</w:t>
      </w:r>
      <w:r w:rsidR="00082AC3">
        <w:t xml:space="preserve"> bilaterally</w:t>
      </w:r>
      <w:r w:rsidRPr="00C87891">
        <w:t xml:space="preserve"> upon the list of </w:t>
      </w:r>
      <w:r w:rsidR="00E249D9" w:rsidRPr="00C87891">
        <w:t>Tie-Lines</w:t>
      </w:r>
      <w:r w:rsidRPr="00C87891">
        <w:t xml:space="preserve"> and </w:t>
      </w:r>
      <w:r w:rsidR="00E249D9" w:rsidRPr="00C87891">
        <w:t>Virtual Tie-Lines</w:t>
      </w:r>
      <w:r w:rsidRPr="00C87891">
        <w:t xml:space="preserve"> to be included in the </w:t>
      </w:r>
      <w:r w:rsidR="00D92FE4" w:rsidRPr="00C87891">
        <w:t xml:space="preserve">SA </w:t>
      </w:r>
      <w:r w:rsidR="00FF4F87" w:rsidRPr="00C87891">
        <w:t>CE</w:t>
      </w:r>
      <w:r w:rsidRPr="00C87891">
        <w:t xml:space="preserve"> </w:t>
      </w:r>
      <w:r w:rsidR="00E249D9" w:rsidRPr="00C87891">
        <w:t>Accounting Process</w:t>
      </w:r>
      <w:r w:rsidRPr="00C87891">
        <w:t xml:space="preserve"> according to the ENTSO-E </w:t>
      </w:r>
      <w:r w:rsidR="009331A7" w:rsidRPr="00C87891">
        <w:rPr>
          <w:rFonts w:ascii="Arial" w:hAnsi="Arial" w:cs="Arial"/>
        </w:rPr>
        <w:t>Guide for Agreement on Data Exchange Process for Accounting of Unintentional Deviation</w:t>
      </w:r>
      <w:r w:rsidRPr="00C87891">
        <w:t xml:space="preserve">. This list also has to provide information about meter measurement and </w:t>
      </w:r>
      <w:r w:rsidR="00E249D9" w:rsidRPr="00C87891">
        <w:t>Accounting Data</w:t>
      </w:r>
      <w:r w:rsidRPr="00C87891">
        <w:t>.</w:t>
      </w:r>
      <w:r w:rsidR="006451E3">
        <w:t xml:space="preserve"> </w:t>
      </w:r>
      <w:r w:rsidR="00D74B43" w:rsidRPr="00C87891">
        <w:t>It must provide:</w:t>
      </w:r>
    </w:p>
    <w:p w14:paraId="4492B3E5" w14:textId="77777777" w:rsidR="00D74B43" w:rsidRPr="00C87891" w:rsidRDefault="00D74B43" w:rsidP="00E25898">
      <w:pPr>
        <w:pStyle w:val="ListParagraph"/>
        <w:numPr>
          <w:ilvl w:val="0"/>
          <w:numId w:val="44"/>
        </w:numPr>
      </w:pPr>
      <w:r w:rsidRPr="00C87891">
        <w:t>Names of both involved TSOs</w:t>
      </w:r>
    </w:p>
    <w:p w14:paraId="4B0C449D" w14:textId="77777777" w:rsidR="00D74B43" w:rsidRPr="00C87891" w:rsidRDefault="00D74B43" w:rsidP="00E25898">
      <w:pPr>
        <w:pStyle w:val="ListParagraph"/>
        <w:numPr>
          <w:ilvl w:val="0"/>
          <w:numId w:val="44"/>
        </w:numPr>
      </w:pPr>
      <w:r w:rsidRPr="00C87891">
        <w:t xml:space="preserve">Name of </w:t>
      </w:r>
      <w:r w:rsidR="00E249D9" w:rsidRPr="00C87891">
        <w:t>Tie-Lines</w:t>
      </w:r>
    </w:p>
    <w:p w14:paraId="30B10E82" w14:textId="77777777" w:rsidR="00D74B43" w:rsidRPr="00C87891" w:rsidRDefault="00D74B43" w:rsidP="00E25898">
      <w:pPr>
        <w:pStyle w:val="ListParagraph"/>
        <w:numPr>
          <w:ilvl w:val="0"/>
          <w:numId w:val="44"/>
        </w:numPr>
      </w:pPr>
      <w:r w:rsidRPr="00C87891">
        <w:t xml:space="preserve">Name and related TSO of substations </w:t>
      </w:r>
      <w:r w:rsidR="00E249D9" w:rsidRPr="00C87891">
        <w:t>Tie-Line</w:t>
      </w:r>
      <w:r w:rsidRPr="00C87891">
        <w:t xml:space="preserve"> is connecting</w:t>
      </w:r>
    </w:p>
    <w:p w14:paraId="1386520B" w14:textId="77777777" w:rsidR="00D74B43" w:rsidRPr="00C87891" w:rsidRDefault="00D74B43" w:rsidP="00E25898">
      <w:pPr>
        <w:pStyle w:val="ListParagraph"/>
        <w:numPr>
          <w:ilvl w:val="0"/>
          <w:numId w:val="44"/>
        </w:numPr>
      </w:pPr>
      <w:r w:rsidRPr="00C87891">
        <w:t>List of measurement data to be used to derive the accounting value</w:t>
      </w:r>
    </w:p>
    <w:p w14:paraId="2306280B" w14:textId="77777777" w:rsidR="00D74B43" w:rsidRPr="00C87891" w:rsidRDefault="00D74B43" w:rsidP="00E25898">
      <w:pPr>
        <w:pStyle w:val="ListParagraph"/>
        <w:numPr>
          <w:ilvl w:val="0"/>
          <w:numId w:val="44"/>
        </w:numPr>
      </w:pPr>
      <w:r w:rsidRPr="00C87891">
        <w:t>List of measurement data to be exchanged</w:t>
      </w:r>
    </w:p>
    <w:p w14:paraId="3E3B02BE" w14:textId="77777777" w:rsidR="00D74B43" w:rsidRPr="00C87891" w:rsidRDefault="007550D2" w:rsidP="00E25898">
      <w:pPr>
        <w:pStyle w:val="ListParagraph"/>
        <w:numPr>
          <w:ilvl w:val="0"/>
          <w:numId w:val="44"/>
        </w:numPr>
      </w:pPr>
      <w:r w:rsidRPr="00C87891">
        <w:t>EIC</w:t>
      </w:r>
      <w:r w:rsidR="00D74B43" w:rsidRPr="00C87891">
        <w:t xml:space="preserve"> for each meter measurement data to be exchanged</w:t>
      </w:r>
    </w:p>
    <w:p w14:paraId="78E4F734" w14:textId="77777777" w:rsidR="00D74B43" w:rsidRPr="00C87891" w:rsidRDefault="007550D2" w:rsidP="00E25898">
      <w:pPr>
        <w:pStyle w:val="ListParagraph"/>
        <w:numPr>
          <w:ilvl w:val="0"/>
          <w:numId w:val="44"/>
        </w:numPr>
      </w:pPr>
      <w:r w:rsidRPr="00C87891">
        <w:t>EIC</w:t>
      </w:r>
      <w:r w:rsidR="00D74B43" w:rsidRPr="00C87891">
        <w:t xml:space="preserve"> of accounting point</w:t>
      </w:r>
    </w:p>
    <w:p w14:paraId="02EC9156" w14:textId="77777777" w:rsidR="00D74B43" w:rsidRPr="00C87891" w:rsidRDefault="00D74B43" w:rsidP="00E25898">
      <w:pPr>
        <w:pStyle w:val="ListParagraph"/>
        <w:numPr>
          <w:ilvl w:val="0"/>
          <w:numId w:val="44"/>
        </w:numPr>
      </w:pPr>
      <w:r w:rsidRPr="00C87891">
        <w:t xml:space="preserve">If line losses to be considered, agreement on formula to calculate </w:t>
      </w:r>
      <w:r w:rsidR="00E249D9" w:rsidRPr="00C87891">
        <w:t>Accounting Data</w:t>
      </w:r>
    </w:p>
    <w:p w14:paraId="48904511" w14:textId="7A8A17A5" w:rsidR="00723C31" w:rsidRPr="00C87891" w:rsidRDefault="00723C31" w:rsidP="00723C31">
      <w:r w:rsidRPr="00C87891">
        <w:t xml:space="preserve">This agreed list must be transmitted towards the related </w:t>
      </w:r>
      <w:r w:rsidR="002E2691">
        <w:t>Coordination</w:t>
      </w:r>
      <w:r w:rsidR="008D666C">
        <w:t xml:space="preserve"> Centre</w:t>
      </w:r>
      <w:r w:rsidR="00E249D9" w:rsidRPr="00C87891">
        <w:t>s</w:t>
      </w:r>
      <w:r w:rsidRPr="00C87891">
        <w:t xml:space="preserve"> for </w:t>
      </w:r>
      <w:r w:rsidR="00D92FE4" w:rsidRPr="00C87891">
        <w:t xml:space="preserve">SA </w:t>
      </w:r>
      <w:r w:rsidR="00FF4F87" w:rsidRPr="00C87891">
        <w:t>CE</w:t>
      </w:r>
      <w:r w:rsidRPr="00C87891">
        <w:t xml:space="preserve"> publication. The data from the </w:t>
      </w:r>
      <w:r w:rsidR="00E249D9" w:rsidRPr="00C87891">
        <w:t>Accounting Point</w:t>
      </w:r>
      <w:r w:rsidRPr="00C87891">
        <w:t xml:space="preserve"> must be used by all </w:t>
      </w:r>
      <w:r w:rsidR="00D92FE4" w:rsidRPr="00C87891">
        <w:t xml:space="preserve">SA </w:t>
      </w:r>
      <w:r w:rsidR="00FF4F87" w:rsidRPr="00C87891">
        <w:t>CE</w:t>
      </w:r>
      <w:r w:rsidRPr="00C87891">
        <w:t xml:space="preserve"> bodies involved as unique representation of the physical ene</w:t>
      </w:r>
      <w:r w:rsidR="00A74A8E" w:rsidRPr="00C87891">
        <w:t xml:space="preserve">rgy exchange concerning the </w:t>
      </w:r>
      <w:r w:rsidR="00E249D9" w:rsidRPr="00C87891">
        <w:t>Tie-Line</w:t>
      </w:r>
      <w:r w:rsidRPr="00C87891">
        <w:t>.</w:t>
      </w:r>
    </w:p>
    <w:p w14:paraId="61B67930" w14:textId="77777777" w:rsidR="00723C31" w:rsidRPr="001A7945" w:rsidRDefault="00723C31" w:rsidP="00AB68C8">
      <w:pPr>
        <w:pStyle w:val="Heading3"/>
      </w:pPr>
      <w:bookmarkStart w:id="75" w:name="_Ref199650373"/>
      <w:bookmarkStart w:id="76" w:name="_Toc90297812"/>
      <w:r w:rsidRPr="001A7945">
        <w:t>Data format</w:t>
      </w:r>
      <w:bookmarkEnd w:id="75"/>
      <w:bookmarkEnd w:id="76"/>
      <w:r w:rsidRPr="001A7945">
        <w:t xml:space="preserve"> </w:t>
      </w:r>
    </w:p>
    <w:p w14:paraId="30541961" w14:textId="77777777" w:rsidR="00CD609B" w:rsidRPr="00C87891" w:rsidRDefault="003D36C8" w:rsidP="00723C31">
      <w:r>
        <w:t>The SAFA parties</w:t>
      </w:r>
      <w:r w:rsidR="00723C31" w:rsidRPr="00C87891">
        <w:t xml:space="preserve"> have to use the data exchange format for metering, accounting </w:t>
      </w:r>
      <w:r w:rsidR="00D73F9C" w:rsidRPr="00C87891">
        <w:t>and settlement</w:t>
      </w:r>
      <w:r w:rsidR="00CD609B" w:rsidRPr="00C87891">
        <w:t>:</w:t>
      </w:r>
    </w:p>
    <w:p w14:paraId="255E6A25" w14:textId="77777777" w:rsidR="00CD609B" w:rsidRPr="00C87891" w:rsidRDefault="00CD609B" w:rsidP="00E25898">
      <w:pPr>
        <w:pStyle w:val="ListParagraph"/>
        <w:numPr>
          <w:ilvl w:val="0"/>
          <w:numId w:val="45"/>
        </w:numPr>
      </w:pPr>
      <w:r w:rsidRPr="00C87891">
        <w:t>SOMA: System Operator Meter Alignment</w:t>
      </w:r>
    </w:p>
    <w:p w14:paraId="321AC0FE" w14:textId="77777777" w:rsidR="00CD609B" w:rsidRPr="00C87891" w:rsidRDefault="00CD609B" w:rsidP="00E25898">
      <w:pPr>
        <w:pStyle w:val="ListParagraph"/>
        <w:numPr>
          <w:ilvl w:val="0"/>
          <w:numId w:val="45"/>
        </w:numPr>
      </w:pPr>
      <w:r w:rsidRPr="00C87891">
        <w:t>SOVM: System Operator Validated Measurements</w:t>
      </w:r>
    </w:p>
    <w:p w14:paraId="476AA8EA" w14:textId="77777777" w:rsidR="00CD609B" w:rsidRPr="00C87891" w:rsidRDefault="00CD609B" w:rsidP="00E25898">
      <w:pPr>
        <w:pStyle w:val="ListParagraph"/>
        <w:numPr>
          <w:ilvl w:val="0"/>
          <w:numId w:val="45"/>
        </w:numPr>
      </w:pPr>
      <w:r w:rsidRPr="00C87891">
        <w:t xml:space="preserve">SOAM: System Operator Accounting </w:t>
      </w:r>
      <w:r w:rsidR="00AD5F99" w:rsidRPr="00C87891">
        <w:t>Data</w:t>
      </w:r>
      <w:r w:rsidRPr="00C87891">
        <w:t xml:space="preserve"> Matching</w:t>
      </w:r>
    </w:p>
    <w:p w14:paraId="61DEEE46" w14:textId="5664869B" w:rsidR="00CD609B" w:rsidRPr="00C87891" w:rsidRDefault="00CD609B" w:rsidP="00E25898">
      <w:pPr>
        <w:pStyle w:val="ListParagraph"/>
        <w:numPr>
          <w:ilvl w:val="0"/>
          <w:numId w:val="45"/>
        </w:numPr>
      </w:pPr>
      <w:r w:rsidRPr="00C87891">
        <w:t xml:space="preserve">SOVA: System </w:t>
      </w:r>
      <w:r w:rsidR="001A6B98">
        <w:t>O</w:t>
      </w:r>
      <w:r w:rsidRPr="00C87891">
        <w:t>perator Validated Accounting data</w:t>
      </w:r>
    </w:p>
    <w:p w14:paraId="7C008E12" w14:textId="698CC9B7" w:rsidR="005F4842" w:rsidRDefault="005F4842" w:rsidP="005F4842">
      <w:pPr>
        <w:pStyle w:val="ListParagraph"/>
        <w:numPr>
          <w:ilvl w:val="0"/>
          <w:numId w:val="45"/>
        </w:numPr>
      </w:pPr>
      <w:r>
        <w:t xml:space="preserve">DSR: Daily Settlement Report </w:t>
      </w:r>
    </w:p>
    <w:p w14:paraId="5D15E664" w14:textId="5923506A" w:rsidR="005F4842" w:rsidRDefault="005F4842" w:rsidP="005F4842">
      <w:pPr>
        <w:pStyle w:val="ListParagraph"/>
        <w:numPr>
          <w:ilvl w:val="0"/>
          <w:numId w:val="45"/>
        </w:numPr>
      </w:pPr>
      <w:r>
        <w:t xml:space="preserve">DSPR: Daily Settlement Prices Report </w:t>
      </w:r>
    </w:p>
    <w:p w14:paraId="1FD3E6FD" w14:textId="3215ACD6" w:rsidR="005F4842" w:rsidRDefault="005F4842" w:rsidP="001A7945">
      <w:pPr>
        <w:pStyle w:val="ListParagraph"/>
        <w:numPr>
          <w:ilvl w:val="0"/>
          <w:numId w:val="45"/>
        </w:numPr>
      </w:pPr>
      <w:r>
        <w:t>MSR:</w:t>
      </w:r>
      <w:r w:rsidRPr="005F4842">
        <w:t xml:space="preserve"> </w:t>
      </w:r>
      <w:r>
        <w:t xml:space="preserve">Monthly Settlement Report </w:t>
      </w:r>
    </w:p>
    <w:p w14:paraId="0F521A6F" w14:textId="0494499D" w:rsidR="001A7945" w:rsidRDefault="001A7945" w:rsidP="001A7945">
      <w:pPr>
        <w:pStyle w:val="ListParagraph"/>
        <w:numPr>
          <w:ilvl w:val="0"/>
          <w:numId w:val="45"/>
        </w:numPr>
      </w:pPr>
      <w:r>
        <w:t>K-</w:t>
      </w:r>
      <w:r w:rsidR="007F79FA">
        <w:t>f</w:t>
      </w:r>
      <w:r>
        <w:t>actors</w:t>
      </w:r>
    </w:p>
    <w:p w14:paraId="369B8ED2" w14:textId="10A63857" w:rsidR="001A7945" w:rsidRDefault="001A7945" w:rsidP="001A7945">
      <w:pPr>
        <w:pStyle w:val="ListParagraph"/>
        <w:numPr>
          <w:ilvl w:val="0"/>
          <w:numId w:val="45"/>
        </w:numPr>
      </w:pPr>
      <w:r>
        <w:t>DAMP</w:t>
      </w:r>
    </w:p>
    <w:p w14:paraId="78B6C764" w14:textId="651B3620" w:rsidR="005F4842" w:rsidRDefault="001A7945" w:rsidP="00632FF6">
      <w:pPr>
        <w:pStyle w:val="ListParagraph"/>
        <w:numPr>
          <w:ilvl w:val="0"/>
          <w:numId w:val="45"/>
        </w:numPr>
      </w:pPr>
      <w:r>
        <w:t>Frequency Deviation</w:t>
      </w:r>
    </w:p>
    <w:p w14:paraId="465A8F6D" w14:textId="5E45AD73" w:rsidR="00723C31" w:rsidRPr="00C87891" w:rsidRDefault="00723C31" w:rsidP="00723C31">
      <w:r w:rsidRPr="00C87891">
        <w:t xml:space="preserve">according to the </w:t>
      </w:r>
      <w:r w:rsidR="009E1B5F">
        <w:t xml:space="preserve">bilateral agreement and the </w:t>
      </w:r>
      <w:r w:rsidR="005F44A5">
        <w:t>ACCOUNTING AND FINANCIAL SETTLEMENT OF KF, ACE AND RAMPING PERIOD (FSKAR) IMPLEMENTATION GUIDE</w:t>
      </w:r>
      <w:r w:rsidR="00E03CAA">
        <w:t>.</w:t>
      </w:r>
    </w:p>
    <w:p w14:paraId="1B3D128E" w14:textId="77777777" w:rsidR="00723C31" w:rsidRPr="00C87891" w:rsidRDefault="00723C31" w:rsidP="00AB68C8">
      <w:pPr>
        <w:pStyle w:val="Heading3"/>
        <w:rPr>
          <w:rFonts w:ascii="Arial" w:hAnsi="Arial" w:cs="Arial"/>
        </w:rPr>
      </w:pPr>
      <w:bookmarkStart w:id="77" w:name="_Toc90297813"/>
      <w:r w:rsidRPr="00C87891">
        <w:t>Trouble shooting</w:t>
      </w:r>
      <w:bookmarkEnd w:id="77"/>
    </w:p>
    <w:p w14:paraId="10FD8FC8" w14:textId="253B7421" w:rsidR="00723C31" w:rsidRPr="00C87891" w:rsidRDefault="00723C31" w:rsidP="00A74A8E">
      <w:r w:rsidRPr="00C87891">
        <w:t xml:space="preserve">In order to be prepared in case of problems, TSOs have to agree </w:t>
      </w:r>
      <w:r w:rsidR="00082AC3">
        <w:t xml:space="preserve">bilaterally </w:t>
      </w:r>
      <w:r w:rsidRPr="00C87891">
        <w:t>on the rules how to deal in case of trouble shooting (m</w:t>
      </w:r>
      <w:r w:rsidR="004D6757" w:rsidRPr="00C87891">
        <w:t xml:space="preserve">issing meter measurement data, </w:t>
      </w:r>
      <w:r w:rsidRPr="00C87891">
        <w:t>inconsistent data, unavailable data, ...)</w:t>
      </w:r>
      <w:r w:rsidR="004D6757" w:rsidRPr="00C87891">
        <w:t xml:space="preserve"> </w:t>
      </w:r>
      <w:r w:rsidR="00AB68C8" w:rsidRPr="00C87891">
        <w:rPr>
          <w:rFonts w:ascii="Arial" w:hAnsi="Arial" w:cs="Arial"/>
        </w:rPr>
        <w:t xml:space="preserve">In this case TSOs have to agree </w:t>
      </w:r>
      <w:r w:rsidR="00082AC3">
        <w:rPr>
          <w:rFonts w:ascii="Arial" w:hAnsi="Arial" w:cs="Arial"/>
        </w:rPr>
        <w:t xml:space="preserve">bilaterally </w:t>
      </w:r>
      <w:r w:rsidR="00AB68C8" w:rsidRPr="00C87891">
        <w:rPr>
          <w:rFonts w:ascii="Arial" w:hAnsi="Arial" w:cs="Arial"/>
        </w:rPr>
        <w:t>on a substitute value for every time unit in question</w:t>
      </w:r>
      <w:r w:rsidR="00673708" w:rsidRPr="00C87891">
        <w:rPr>
          <w:rFonts w:ascii="Arial" w:hAnsi="Arial" w:cs="Arial"/>
        </w:rPr>
        <w:t xml:space="preserve"> </w:t>
      </w:r>
      <w:r w:rsidR="00673708" w:rsidRPr="00C87891">
        <w:t xml:space="preserve">and inform their related </w:t>
      </w:r>
      <w:r w:rsidR="002E2691">
        <w:t>Coordination</w:t>
      </w:r>
      <w:r w:rsidR="008D666C">
        <w:t xml:space="preserve"> Centre</w:t>
      </w:r>
      <w:r w:rsidR="00E249D9" w:rsidRPr="00C87891">
        <w:t>s</w:t>
      </w:r>
      <w:r w:rsidR="00673708" w:rsidRPr="00C87891">
        <w:t xml:space="preserve"> </w:t>
      </w:r>
      <w:r w:rsidR="007E50A6">
        <w:t xml:space="preserve">or/and LFC Block </w:t>
      </w:r>
      <w:r w:rsidR="00673708" w:rsidRPr="00C87891">
        <w:t>immediately</w:t>
      </w:r>
      <w:r w:rsidR="00AB68C8" w:rsidRPr="00C87891">
        <w:t xml:space="preserve"> </w:t>
      </w:r>
      <w:r w:rsidR="004D6757" w:rsidRPr="00C87891">
        <w:t>(se</w:t>
      </w:r>
      <w:r w:rsidR="00A74A8E" w:rsidRPr="00C87891">
        <w:t>e</w:t>
      </w:r>
      <w:r w:rsidR="004D6757" w:rsidRPr="00C87891">
        <w:t xml:space="preserve"> </w:t>
      </w:r>
      <w:r w:rsidR="004D6757" w:rsidRPr="00C87891">
        <w:fldChar w:fldCharType="begin"/>
      </w:r>
      <w:r w:rsidR="004D6757" w:rsidRPr="00C87891">
        <w:instrText xml:space="preserve"> REF _Ref196725668 \r \h </w:instrText>
      </w:r>
      <w:r w:rsidR="00C87891">
        <w:instrText xml:space="preserve"> \* MERGEFORMAT </w:instrText>
      </w:r>
      <w:r w:rsidR="004D6757" w:rsidRPr="00C87891">
        <w:fldChar w:fldCharType="separate"/>
      </w:r>
      <w:r w:rsidR="009E7709">
        <w:t>C-7-1</w:t>
      </w:r>
      <w:r w:rsidR="004D6757" w:rsidRPr="00C87891">
        <w:fldChar w:fldCharType="end"/>
      </w:r>
      <w:r w:rsidR="004D6757" w:rsidRPr="00C87891">
        <w:t>)</w:t>
      </w:r>
      <w:r w:rsidR="00A74A8E" w:rsidRPr="00C87891">
        <w:t xml:space="preserve">. </w:t>
      </w:r>
      <w:r w:rsidR="00082AC3">
        <w:t xml:space="preserve">Substitute values are to be submitted within the deadlines defined for submission of Accounting Data (see </w:t>
      </w:r>
      <w:r w:rsidR="00082AC3">
        <w:fldChar w:fldCharType="begin"/>
      </w:r>
      <w:r w:rsidR="00082AC3">
        <w:instrText xml:space="preserve"> REF _Ref62107543 \r \h </w:instrText>
      </w:r>
      <w:r w:rsidR="00082AC3">
        <w:fldChar w:fldCharType="separate"/>
      </w:r>
      <w:r w:rsidR="009E7709">
        <w:t>C-12-2</w:t>
      </w:r>
      <w:r w:rsidR="00082AC3">
        <w:fldChar w:fldCharType="end"/>
      </w:r>
      <w:r w:rsidR="00082AC3">
        <w:t>)</w:t>
      </w:r>
    </w:p>
    <w:p w14:paraId="6A8195FD" w14:textId="611C6740" w:rsidR="00723C31" w:rsidRPr="00C87891" w:rsidRDefault="00723C31" w:rsidP="00AB68C8">
      <w:pPr>
        <w:pStyle w:val="Heading3"/>
      </w:pPr>
      <w:bookmarkStart w:id="78" w:name="_Toc90297814"/>
      <w:r w:rsidRPr="00C87891">
        <w:t>Resolution</w:t>
      </w:r>
      <w:bookmarkEnd w:id="78"/>
      <w:r w:rsidRPr="00C87891">
        <w:t xml:space="preserve"> </w:t>
      </w:r>
    </w:p>
    <w:p w14:paraId="0863FCCE" w14:textId="3A083FB8" w:rsidR="00723C31" w:rsidRPr="00C87891" w:rsidRDefault="00723C31" w:rsidP="00723C31">
      <w:r w:rsidRPr="00C87891">
        <w:t xml:space="preserve">TSOs </w:t>
      </w:r>
      <w:r w:rsidR="00D11486">
        <w:t>must</w:t>
      </w:r>
      <w:r w:rsidRPr="00C87891">
        <w:t xml:space="preserve"> agree on the resolution for the validation of the energy exchange on their common border. The resolution for the exchange of meter measurement and </w:t>
      </w:r>
      <w:r w:rsidR="00E249D9" w:rsidRPr="00C87891">
        <w:t>Accounting Data</w:t>
      </w:r>
      <w:r w:rsidRPr="00C87891">
        <w:t xml:space="preserve"> is </w:t>
      </w:r>
      <w:r w:rsidR="00265E09">
        <w:t xml:space="preserve">by default </w:t>
      </w:r>
      <w:r w:rsidRPr="00C87891">
        <w:t>the integer value of MWh</w:t>
      </w:r>
      <w:r w:rsidR="00265E09">
        <w:t xml:space="preserve"> </w:t>
      </w:r>
      <w:r w:rsidR="007E77CC" w:rsidRPr="00C87891">
        <w:t>for the time frame ¼ h</w:t>
      </w:r>
      <w:r w:rsidR="00265E09">
        <w:t>. I</w:t>
      </w:r>
      <w:r w:rsidRPr="00C87891">
        <w:t>f bilaterally agreed</w:t>
      </w:r>
      <w:r w:rsidR="007E77CC">
        <w:t xml:space="preserve"> Accounting Data can also be in </w:t>
      </w:r>
      <w:r w:rsidRPr="00C87891">
        <w:t xml:space="preserve"> MWh with 3 decimal digits</w:t>
      </w:r>
      <w:r w:rsidR="00541F8A">
        <w:t>.</w:t>
      </w:r>
    </w:p>
    <w:p w14:paraId="7EE621E8" w14:textId="77777777" w:rsidR="00723C31" w:rsidRPr="00C87891" w:rsidRDefault="00723C31" w:rsidP="00AB68C8">
      <w:pPr>
        <w:pStyle w:val="Heading3"/>
      </w:pPr>
      <w:bookmarkStart w:id="79" w:name="_Toc90297815"/>
      <w:r w:rsidRPr="00C87891">
        <w:t>Consideration of line losses</w:t>
      </w:r>
      <w:bookmarkEnd w:id="79"/>
    </w:p>
    <w:p w14:paraId="5DAFAE86" w14:textId="367A3E66" w:rsidR="00736A9B" w:rsidRPr="00C87891" w:rsidRDefault="00723C31" w:rsidP="00A74A8E">
      <w:r w:rsidRPr="00C87891">
        <w:t>TSOs have to agree on t</w:t>
      </w:r>
      <w:r w:rsidR="00B73419" w:rsidRPr="00C87891">
        <w:t>he way to consider line losses.</w:t>
      </w:r>
      <w:r w:rsidRPr="00C87891">
        <w:t xml:space="preserve"> This can be done by </w:t>
      </w:r>
      <w:r w:rsidR="00265E09">
        <w:t>agreement defining the Accounting Point e.g. on the basis of the Accounting Data</w:t>
      </w:r>
      <w:r w:rsidR="00A74A8E" w:rsidRPr="00C87891">
        <w:t>.</w:t>
      </w:r>
    </w:p>
    <w:p w14:paraId="37C74497" w14:textId="77777777" w:rsidR="00A74A8E" w:rsidRPr="00C87891" w:rsidRDefault="00A74A8E">
      <w:pPr>
        <w:jc w:val="left"/>
      </w:pPr>
      <w:r w:rsidRPr="00C87891">
        <w:br w:type="page"/>
      </w:r>
    </w:p>
    <w:p w14:paraId="729F1CA2" w14:textId="68FD8D51" w:rsidR="00723C31" w:rsidRDefault="00723C31" w:rsidP="00443483">
      <w:pPr>
        <w:pStyle w:val="Heading2"/>
      </w:pPr>
      <w:bookmarkStart w:id="80" w:name="_Toc90297816"/>
      <w:r w:rsidRPr="00C87891">
        <w:t xml:space="preserve">Standards - </w:t>
      </w:r>
      <w:r w:rsidR="00443483" w:rsidRPr="00C87891">
        <w:t>Accounting process</w:t>
      </w:r>
      <w:bookmarkEnd w:id="80"/>
    </w:p>
    <w:p w14:paraId="5D1A7381" w14:textId="07B9B01F" w:rsidR="005F44A5" w:rsidRDefault="005F44A5" w:rsidP="005F44A5">
      <w:pPr>
        <w:pStyle w:val="Heading3"/>
        <w:numPr>
          <w:ilvl w:val="2"/>
          <w:numId w:val="10"/>
        </w:numPr>
      </w:pPr>
      <w:bookmarkStart w:id="81" w:name="_Toc90297817"/>
      <w:r>
        <w:t>O</w:t>
      </w:r>
      <w:r w:rsidR="00405246">
        <w:t>verview</w:t>
      </w:r>
      <w:bookmarkEnd w:id="81"/>
    </w:p>
    <w:p w14:paraId="770F1C0C" w14:textId="3B6DF912" w:rsidR="00405246" w:rsidRDefault="00405246" w:rsidP="005F44A5">
      <w:r>
        <w:t xml:space="preserve">In the framework of the Accounting Process, </w:t>
      </w:r>
      <w:r w:rsidR="002E2691">
        <w:t>Coordination</w:t>
      </w:r>
      <w:r w:rsidR="008D666C">
        <w:t xml:space="preserve"> Centre</w:t>
      </w:r>
      <w:r>
        <w:t xml:space="preserve">s </w:t>
      </w:r>
      <w:r w:rsidR="002D5DA3">
        <w:t xml:space="preserve">(CCs) </w:t>
      </w:r>
      <w:r>
        <w:t>calculate:</w:t>
      </w:r>
    </w:p>
    <w:p w14:paraId="1BC23F08" w14:textId="47C58871" w:rsidR="004031EC" w:rsidRDefault="004031EC" w:rsidP="00632FF6">
      <w:pPr>
        <w:pStyle w:val="ListParagraph"/>
        <w:numPr>
          <w:ilvl w:val="0"/>
          <w:numId w:val="44"/>
        </w:numPr>
      </w:pPr>
      <w:r>
        <w:t>The volumes of FCP energy and RP energy for each TSO-TSO settlement period. The inputs needed for these calculations shall be:</w:t>
      </w:r>
    </w:p>
    <w:p w14:paraId="05F8E1BD" w14:textId="02386662" w:rsidR="004031EC" w:rsidRDefault="004031EC" w:rsidP="004031EC">
      <w:pPr>
        <w:pStyle w:val="ListParagraph"/>
        <w:numPr>
          <w:ilvl w:val="1"/>
          <w:numId w:val="60"/>
        </w:numPr>
      </w:pPr>
      <w:r>
        <w:t>The K-factor per LFC area or LFC block;</w:t>
      </w:r>
    </w:p>
    <w:p w14:paraId="37F8BC3E" w14:textId="77777777" w:rsidR="004031EC" w:rsidRDefault="004031EC" w:rsidP="004031EC">
      <w:pPr>
        <w:pStyle w:val="ListParagraph"/>
        <w:numPr>
          <w:ilvl w:val="1"/>
          <w:numId w:val="60"/>
        </w:numPr>
      </w:pPr>
      <w:r>
        <w:t>The average of the frequency deviation over each TSO-TSO settlement period;</w:t>
      </w:r>
    </w:p>
    <w:p w14:paraId="5C5A7349" w14:textId="77777777" w:rsidR="004031EC" w:rsidRDefault="004031EC" w:rsidP="004031EC">
      <w:pPr>
        <w:pStyle w:val="ListParagraph"/>
        <w:numPr>
          <w:ilvl w:val="1"/>
          <w:numId w:val="60"/>
        </w:numPr>
      </w:pPr>
      <w:r>
        <w:t xml:space="preserve">The aggregated external schedules (ANES)   </w:t>
      </w:r>
    </w:p>
    <w:p w14:paraId="502EB5FB" w14:textId="3DE288FC" w:rsidR="005F44A5" w:rsidRDefault="005F44A5" w:rsidP="00632FF6">
      <w:pPr>
        <w:pStyle w:val="ListParagraph"/>
        <w:numPr>
          <w:ilvl w:val="0"/>
          <w:numId w:val="44"/>
        </w:numPr>
      </w:pPr>
      <w:r>
        <w:t xml:space="preserve">The </w:t>
      </w:r>
      <w:r w:rsidR="00405246">
        <w:t>volumes of UE energy</w:t>
      </w:r>
      <w:r>
        <w:t xml:space="preserve"> for each TSO-TSO settlement period.</w:t>
      </w:r>
      <w:r w:rsidR="00F6212C">
        <w:t xml:space="preserve"> </w:t>
      </w:r>
      <w:r>
        <w:t>The inputs needed for these calculations shall be:</w:t>
      </w:r>
    </w:p>
    <w:p w14:paraId="2B083B8C" w14:textId="0CB176C2" w:rsidR="005F44A5" w:rsidRDefault="005F44A5" w:rsidP="005F44A5">
      <w:pPr>
        <w:pStyle w:val="ListParagraph"/>
        <w:numPr>
          <w:ilvl w:val="1"/>
          <w:numId w:val="59"/>
        </w:numPr>
      </w:pPr>
      <w:r>
        <w:t xml:space="preserve">The </w:t>
      </w:r>
      <w:r w:rsidR="007E77CC">
        <w:t>A</w:t>
      </w:r>
      <w:r>
        <w:t xml:space="preserve">ccounting </w:t>
      </w:r>
      <w:r w:rsidR="007E77CC">
        <w:t>D</w:t>
      </w:r>
      <w:r>
        <w:t xml:space="preserve">ata per TSO-TSO settlement period and per LFC area </w:t>
      </w:r>
      <w:r w:rsidR="00CB1BA6">
        <w:t xml:space="preserve">or LFC Block </w:t>
      </w:r>
      <w:r>
        <w:t>of SA CE, including exchanges of energy accounted through a virtual tie-line;</w:t>
      </w:r>
    </w:p>
    <w:p w14:paraId="75E129C5" w14:textId="77777777" w:rsidR="005F44A5" w:rsidRDefault="005F44A5" w:rsidP="005F44A5">
      <w:pPr>
        <w:pStyle w:val="ListParagraph"/>
        <w:numPr>
          <w:ilvl w:val="1"/>
          <w:numId w:val="59"/>
        </w:numPr>
      </w:pPr>
      <w:r>
        <w:t xml:space="preserve">All aggregated netted external schedules (ANES); </w:t>
      </w:r>
    </w:p>
    <w:p w14:paraId="74557C20" w14:textId="40A0968D" w:rsidR="005F44A5" w:rsidRPr="005F44A5" w:rsidRDefault="005F44A5" w:rsidP="00632FF6">
      <w:pPr>
        <w:pStyle w:val="ListParagraph"/>
        <w:numPr>
          <w:ilvl w:val="1"/>
          <w:numId w:val="59"/>
        </w:numPr>
      </w:pPr>
      <w:r>
        <w:t xml:space="preserve">The volumes of </w:t>
      </w:r>
      <w:r w:rsidR="00CB1BA6">
        <w:t>FCP Energy and UE Energy</w:t>
      </w:r>
    </w:p>
    <w:p w14:paraId="00C5C1ED" w14:textId="3290F37E" w:rsidR="00CB1BA6" w:rsidRPr="00C87891" w:rsidRDefault="00CB1BA6" w:rsidP="00632FF6">
      <w:pPr>
        <w:pStyle w:val="Heading3"/>
      </w:pPr>
      <w:bookmarkStart w:id="82" w:name="_Ref57884817"/>
      <w:bookmarkStart w:id="83" w:name="_Ref199583818"/>
      <w:bookmarkStart w:id="84" w:name="_Ref512261489"/>
      <w:bookmarkStart w:id="85" w:name="_Toc90297818"/>
      <w:r w:rsidRPr="000755B5">
        <w:t>Accounting</w:t>
      </w:r>
      <w:r>
        <w:t xml:space="preserve"> </w:t>
      </w:r>
      <w:r w:rsidRPr="00C87891">
        <w:t>data exchange between TSOs in the SA CE</w:t>
      </w:r>
      <w:bookmarkStart w:id="86" w:name="_Ref512261303"/>
      <w:bookmarkEnd w:id="82"/>
      <w:bookmarkEnd w:id="85"/>
    </w:p>
    <w:p w14:paraId="3DAD46F0" w14:textId="77777777" w:rsidR="00CB1BA6" w:rsidRPr="00C87891" w:rsidRDefault="00CB1BA6" w:rsidP="00CB1BA6">
      <w:pPr>
        <w:jc w:val="center"/>
      </w:pPr>
      <w:r w:rsidRPr="00ED746F">
        <w:rPr>
          <w:noProof/>
          <w:lang w:val="de-DE" w:eastAsia="de-DE"/>
        </w:rPr>
        <w:drawing>
          <wp:inline distT="0" distB="0" distL="0" distR="0" wp14:anchorId="001ED319" wp14:editId="39952326">
            <wp:extent cx="4511675" cy="462407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1675" cy="4624070"/>
                    </a:xfrm>
                    <a:prstGeom prst="rect">
                      <a:avLst/>
                    </a:prstGeom>
                    <a:noFill/>
                    <a:ln>
                      <a:noFill/>
                    </a:ln>
                  </pic:spPr>
                </pic:pic>
              </a:graphicData>
            </a:graphic>
          </wp:inline>
        </w:drawing>
      </w:r>
    </w:p>
    <w:p w14:paraId="3B87349D" w14:textId="5E4D00F8" w:rsidR="00CB1BA6" w:rsidRPr="00C87891" w:rsidRDefault="00CB1BA6" w:rsidP="00CB1BA6">
      <w:pPr>
        <w:pStyle w:val="Caption"/>
      </w:pPr>
      <w:bookmarkStart w:id="87" w:name="_Ref515019393"/>
      <w:r w:rsidRPr="00C87891">
        <w:t xml:space="preserve">Figure </w:t>
      </w:r>
      <w:r w:rsidRPr="00C87891">
        <w:fldChar w:fldCharType="begin"/>
      </w:r>
      <w:r w:rsidRPr="00C87891">
        <w:instrText xml:space="preserve"> SEQ Figure \* ARABIC </w:instrText>
      </w:r>
      <w:r w:rsidRPr="00C87891">
        <w:fldChar w:fldCharType="separate"/>
      </w:r>
      <w:r w:rsidR="009E7709">
        <w:rPr>
          <w:noProof/>
        </w:rPr>
        <w:t>3</w:t>
      </w:r>
      <w:r w:rsidRPr="00C87891">
        <w:fldChar w:fldCharType="end"/>
      </w:r>
      <w:bookmarkEnd w:id="86"/>
      <w:bookmarkEnd w:id="87"/>
      <w:r w:rsidRPr="00C87891">
        <w:t>: Overview of the Data Exchange Process between TSOs</w:t>
      </w:r>
    </w:p>
    <w:p w14:paraId="4CFA3EA8" w14:textId="77777777" w:rsidR="00CB1BA6" w:rsidRPr="00C87891" w:rsidRDefault="00CB1BA6" w:rsidP="00CB1BA6">
      <w:pPr>
        <w:rPr>
          <w:rStyle w:val="Strong"/>
        </w:rPr>
      </w:pPr>
      <w:r w:rsidRPr="00C87891">
        <w:rPr>
          <w:rStyle w:val="Strong"/>
        </w:rPr>
        <w:t>Principles of meter measurement data exchange</w:t>
      </w:r>
    </w:p>
    <w:p w14:paraId="374281C8" w14:textId="1099CD60" w:rsidR="00CB1BA6" w:rsidRPr="00C87891" w:rsidRDefault="00CB1BA6" w:rsidP="00CB1BA6">
      <w:r w:rsidRPr="00C87891">
        <w:t xml:space="preserve">Each </w:t>
      </w:r>
      <w:smartTag w:uri="urn:schemas-microsoft-com:office:smarttags" w:element="stockticker">
        <w:r w:rsidRPr="00C87891">
          <w:t>TSO</w:t>
        </w:r>
      </w:smartTag>
      <w:r w:rsidRPr="00C87891">
        <w:t xml:space="preserve"> assembles and sends his meter measurement data document “System Operator Meter Alignment” (SOMA) to his adjacent </w:t>
      </w:r>
      <w:smartTag w:uri="urn:schemas-microsoft-com:office:smarttags" w:element="stockticker">
        <w:r w:rsidRPr="00C87891">
          <w:t>TSO</w:t>
        </w:r>
      </w:smartTag>
      <w:r w:rsidRPr="00C87891">
        <w:t xml:space="preserve"> (see </w:t>
      </w:r>
      <w:r w:rsidRPr="00C87891">
        <w:fldChar w:fldCharType="begin"/>
      </w:r>
      <w:r w:rsidRPr="00C87891">
        <w:instrText xml:space="preserve"> REF _Ref219864094 \r \h  \* MERGEFORMAT </w:instrText>
      </w:r>
      <w:r w:rsidRPr="00C87891">
        <w:fldChar w:fldCharType="separate"/>
      </w:r>
      <w:r w:rsidR="009E7709">
        <w:t>C-4-1</w:t>
      </w:r>
      <w:r w:rsidRPr="00C87891">
        <w:fldChar w:fldCharType="end"/>
      </w:r>
      <w:r>
        <w:t xml:space="preserve">, C-1-7 </w:t>
      </w:r>
      <w:r w:rsidRPr="00C87891">
        <w:t xml:space="preserve">and </w:t>
      </w:r>
      <w:r w:rsidRPr="00C87891">
        <w:fldChar w:fldCharType="begin"/>
      </w:r>
      <w:r w:rsidRPr="00C87891">
        <w:instrText xml:space="preserve"> REF _Ref515019393 \h </w:instrText>
      </w:r>
      <w:r>
        <w:instrText xml:space="preserve"> \* MERGEFORMAT </w:instrText>
      </w:r>
      <w:r w:rsidRPr="00C87891">
        <w:fldChar w:fldCharType="separate"/>
      </w:r>
      <w:r w:rsidR="009E7709" w:rsidRPr="00C87891">
        <w:t xml:space="preserve">Figure </w:t>
      </w:r>
      <w:r w:rsidR="009E7709">
        <w:rPr>
          <w:noProof/>
        </w:rPr>
        <w:t>3</w:t>
      </w:r>
      <w:r w:rsidRPr="00C87891">
        <w:fldChar w:fldCharType="end"/>
      </w:r>
      <w:r w:rsidRPr="00C87891">
        <w:t xml:space="preserve">). Every </w:t>
      </w:r>
      <w:smartTag w:uri="urn:schemas-microsoft-com:office:smarttags" w:element="stockticker">
        <w:r w:rsidRPr="00C87891">
          <w:t>TSO</w:t>
        </w:r>
      </w:smartTag>
      <w:r w:rsidRPr="00C87891">
        <w:t xml:space="preserve"> validates the contents of the SOMA document. The </w:t>
      </w:r>
      <w:smartTag w:uri="urn:schemas-microsoft-com:office:smarttags" w:element="stockticker">
        <w:r w:rsidRPr="00C87891">
          <w:t>TSOs</w:t>
        </w:r>
      </w:smartTag>
      <w:r w:rsidRPr="00C87891">
        <w:t xml:space="preserve"> inform each other about the result of validation. </w:t>
      </w:r>
    </w:p>
    <w:p w14:paraId="0D79ABD4" w14:textId="77777777" w:rsidR="00CB1BA6" w:rsidRPr="00C87891" w:rsidRDefault="00CB1BA6" w:rsidP="00CB1BA6">
      <w:r w:rsidRPr="00C87891">
        <w:t>In case of successful validation, the meter measurement data document</w:t>
      </w:r>
      <w:r>
        <w:t xml:space="preserve"> </w:t>
      </w:r>
      <w:r w:rsidRPr="00C87891">
        <w:t>“System Operator Validated Measurements” (SOVM) is assembled and sent to the accounting data system of the TSO in order to calculate the accounting data (e.g. consideration of losses).</w:t>
      </w:r>
    </w:p>
    <w:p w14:paraId="0FC19326" w14:textId="77777777" w:rsidR="00CB1BA6" w:rsidRPr="00C87891" w:rsidRDefault="00CB1BA6" w:rsidP="00CB1BA6">
      <w:pPr>
        <w:rPr>
          <w:rStyle w:val="Strong"/>
        </w:rPr>
      </w:pPr>
      <w:r w:rsidRPr="00C87891">
        <w:rPr>
          <w:rStyle w:val="Strong"/>
        </w:rPr>
        <w:t>Principles of accounting data exchange between TSO</w:t>
      </w:r>
    </w:p>
    <w:p w14:paraId="1036D5F3" w14:textId="011BAE6A" w:rsidR="00CB1BA6" w:rsidRPr="00C87891" w:rsidRDefault="00CB1BA6" w:rsidP="00CB1BA6">
      <w:r>
        <w:t xml:space="preserve">The calculated Accounting Data is assembled into a document “System Operator Accounting Data Matching” (SOAM) and must be exchanged between involved TSOs. One TSO sends the values that have been calculated and that will serve as the accounting point data. If the receiving TSO agrees to the values, then a positive acknowledgement is sent. If, however, the receiving TSO does not agree, then a negative acknowledgement is sent. Both TSOs send the SOAM after successful matching (SOVA) to the related </w:t>
      </w:r>
      <w:r w:rsidR="002E2691">
        <w:t>Coordination</w:t>
      </w:r>
      <w:r w:rsidR="008D666C">
        <w:t xml:space="preserve"> Centre</w:t>
      </w:r>
      <w:r>
        <w:t xml:space="preserve">s. If Accounting Data is based on substitute meter measurement data, the two involved TSO have time to adjust the data during the Accounting Process. If data is not adjusted by the TSO and </w:t>
      </w:r>
      <w:r w:rsidR="006638C2">
        <w:t>data received in SOVA</w:t>
      </w:r>
      <w:r>
        <w:t xml:space="preserve"> match</w:t>
      </w:r>
      <w:r w:rsidR="006638C2">
        <w:t>es</w:t>
      </w:r>
      <w:r>
        <w:t>, this data is considered as final on the dedicated SA CE border. If data do</w:t>
      </w:r>
      <w:r w:rsidR="006638C2">
        <w:t>es</w:t>
      </w:r>
      <w:r>
        <w:t xml:space="preserve"> not match, the accounting mismatch rules (see </w:t>
      </w:r>
      <w:r>
        <w:fldChar w:fldCharType="begin"/>
      </w:r>
      <w:r>
        <w:instrText xml:space="preserve"> REF _Ref196725668 \r \h  \* MERGEFORMAT </w:instrText>
      </w:r>
      <w:r>
        <w:fldChar w:fldCharType="separate"/>
      </w:r>
      <w:r w:rsidR="009E7709">
        <w:t>C-7-1</w:t>
      </w:r>
      <w:r>
        <w:fldChar w:fldCharType="end"/>
      </w:r>
      <w:r>
        <w:t xml:space="preserve">) will be applied by the dedicated SA CE level (see </w:t>
      </w:r>
      <w:r>
        <w:fldChar w:fldCharType="begin"/>
      </w:r>
      <w:r>
        <w:instrText xml:space="preserve"> REF _Ref75847512 \h </w:instrText>
      </w:r>
      <w:r>
        <w:fldChar w:fldCharType="separate"/>
      </w:r>
      <w:r w:rsidR="009E7709" w:rsidRPr="00C87891">
        <w:t xml:space="preserve">Table </w:t>
      </w:r>
      <w:r w:rsidR="009E7709">
        <w:rPr>
          <w:noProof/>
        </w:rPr>
        <w:t>2</w:t>
      </w:r>
      <w:r>
        <w:fldChar w:fldCharType="end"/>
      </w:r>
      <w:r>
        <w:t xml:space="preserve">). </w:t>
      </w:r>
      <w:smartTag w:uri="urn:schemas-microsoft-com:office:smarttags" w:element="stockticker"/>
      <w:smartTag w:uri="urn:schemas-microsoft-com:office:smarttags" w:element="stockticker"/>
      <w:smartTag w:uri="urn:schemas-microsoft-com:office:smarttags" w:element="stockticker"/>
    </w:p>
    <w:p w14:paraId="22BA8726" w14:textId="77777777" w:rsidR="00CB1BA6" w:rsidRPr="00C87891" w:rsidRDefault="00CB1BA6" w:rsidP="00082AC3">
      <w:pPr>
        <w:pStyle w:val="Heading4"/>
      </w:pPr>
      <w:r w:rsidRPr="00C87891">
        <w:t xml:space="preserve">Metering requirements </w:t>
      </w:r>
    </w:p>
    <w:p w14:paraId="68DF754C" w14:textId="77777777" w:rsidR="00CB1BA6" w:rsidRDefault="00CB1BA6" w:rsidP="00CB1BA6">
      <w:pPr>
        <w:rPr>
          <w:rStyle w:val="Strong"/>
        </w:rPr>
      </w:pPr>
      <w:r>
        <w:rPr>
          <w:rStyle w:val="Strong"/>
          <w:b w:val="0"/>
          <w:bCs w:val="0"/>
        </w:rPr>
        <w:t xml:space="preserve">The following metering requirements must be fulfilled by the metering devices on both ends of the Tie-Line by both connecting TSOs. </w:t>
      </w:r>
    </w:p>
    <w:p w14:paraId="5FA3E329" w14:textId="77777777" w:rsidR="00CB1BA6" w:rsidRPr="00C87891" w:rsidRDefault="00CB1BA6" w:rsidP="00CB1BA6">
      <w:pPr>
        <w:rPr>
          <w:rStyle w:val="Strong"/>
        </w:rPr>
      </w:pPr>
      <w:r w:rsidRPr="00C87891">
        <w:rPr>
          <w:rStyle w:val="Strong"/>
        </w:rPr>
        <w:t>Voltage and current transformer</w:t>
      </w:r>
    </w:p>
    <w:p w14:paraId="2D4E9415" w14:textId="77777777" w:rsidR="00CB1BA6" w:rsidRPr="00C87891" w:rsidRDefault="00CB1BA6" w:rsidP="00CB1BA6">
      <w:r w:rsidRPr="00C87891">
        <w:t>Voltage and current transformers have to be operated at each metering point which data is used as source for the determination of an Accounting Point. Voltage and current transformers at the Accounting Points must have an accuracy class rating of 0.2. Current transformers must have 2 cores for measurement purposes.</w:t>
      </w:r>
    </w:p>
    <w:p w14:paraId="3A93AA98" w14:textId="77777777" w:rsidR="00CB1BA6" w:rsidRPr="00C87891" w:rsidRDefault="00CB1BA6" w:rsidP="00CB1BA6">
      <w:pPr>
        <w:rPr>
          <w:rStyle w:val="Strong"/>
        </w:rPr>
      </w:pPr>
      <w:r w:rsidRPr="00C87891">
        <w:rPr>
          <w:rStyle w:val="Strong"/>
        </w:rPr>
        <w:t>Electricity metering</w:t>
      </w:r>
    </w:p>
    <w:p w14:paraId="4E044F34" w14:textId="77777777" w:rsidR="00CB1BA6" w:rsidRPr="00C87891" w:rsidRDefault="00CB1BA6" w:rsidP="00CB1BA6">
      <w:r w:rsidRPr="00C87891">
        <w:t>On the basis of the current and voltage values measured by the transformers, the electricity me</w:t>
      </w:r>
      <w:r w:rsidRPr="00C87891">
        <w:softHyphen/>
        <w:t xml:space="preserve">ters determine the active energy flow in both directions related to a given time frame. The electricity meters at the accounting points must have an accuracy class rating of 0.2. </w:t>
      </w:r>
    </w:p>
    <w:p w14:paraId="165F4A65" w14:textId="77777777" w:rsidR="00CB1BA6" w:rsidRPr="00C87891" w:rsidRDefault="00CB1BA6" w:rsidP="00CB1BA6">
      <w:pPr>
        <w:rPr>
          <w:rStyle w:val="Strong"/>
        </w:rPr>
      </w:pPr>
      <w:r w:rsidRPr="00C87891">
        <w:rPr>
          <w:rStyle w:val="Strong"/>
        </w:rPr>
        <w:t>Redundancy</w:t>
      </w:r>
    </w:p>
    <w:p w14:paraId="60B5C9A0" w14:textId="67F233E6" w:rsidR="00CB1BA6" w:rsidRPr="00C87891" w:rsidRDefault="00CB1BA6" w:rsidP="00CB1BA6">
      <w:r w:rsidRPr="00C87891">
        <w:t>Metering points must be equipped with main and check meters at each Tie-Line. Main and check meter must be connected each to a separate core of the current transformer.</w:t>
      </w:r>
      <w:r w:rsidR="003754D8">
        <w:t xml:space="preserve"> Equivalent solution to this is allowed.</w:t>
      </w:r>
    </w:p>
    <w:p w14:paraId="3904DD29" w14:textId="77777777" w:rsidR="00CB1BA6" w:rsidRPr="00C87891" w:rsidRDefault="00CB1BA6" w:rsidP="00CB1BA6">
      <w:pPr>
        <w:rPr>
          <w:rStyle w:val="Strong"/>
        </w:rPr>
      </w:pPr>
      <w:r w:rsidRPr="00C87891">
        <w:rPr>
          <w:rStyle w:val="Strong"/>
        </w:rPr>
        <w:t>Transformer cables</w:t>
      </w:r>
    </w:p>
    <w:p w14:paraId="0AA5462A" w14:textId="77777777" w:rsidR="00CB1BA6" w:rsidRPr="00C87891" w:rsidRDefault="00CB1BA6" w:rsidP="00CB1BA6">
      <w:r w:rsidRPr="00C87891">
        <w:t>Due to the accuracy of the whole metering, voltage transformer cables must be designed in such a way that a voltage drop is reduced to 0.1% or less of the nominal voltage.</w:t>
      </w:r>
    </w:p>
    <w:p w14:paraId="01816BB0" w14:textId="77777777" w:rsidR="00CB1BA6" w:rsidRPr="00C87891" w:rsidRDefault="00CB1BA6" w:rsidP="00CB1BA6">
      <w:pPr>
        <w:keepNext/>
        <w:rPr>
          <w:rStyle w:val="Strong"/>
        </w:rPr>
      </w:pPr>
      <w:r w:rsidRPr="00C87891">
        <w:rPr>
          <w:rStyle w:val="Strong"/>
        </w:rPr>
        <w:t>Telecounter</w:t>
      </w:r>
    </w:p>
    <w:p w14:paraId="5D0CFBC7" w14:textId="77777777" w:rsidR="00CB1BA6" w:rsidRPr="00C87891" w:rsidRDefault="00CB1BA6" w:rsidP="00CB1BA6">
      <w:r w:rsidRPr="00C87891">
        <w:t xml:space="preserve">The task of a telecounter is the acquisition of metered values from the electricity meters at the metering point and the teletransmission of this data to the central accounting office of every partner concerned (remote meter reading). The counters at a metering point must be doubled. </w:t>
      </w:r>
    </w:p>
    <w:p w14:paraId="5623EE04" w14:textId="77777777" w:rsidR="00CB1BA6" w:rsidRPr="00C87891" w:rsidRDefault="00CB1BA6" w:rsidP="00082AC3">
      <w:pPr>
        <w:pStyle w:val="Heading4"/>
      </w:pPr>
      <w:r w:rsidRPr="00C87891">
        <w:t xml:space="preserve">Availability and timing for meter measurement data exchange process </w:t>
      </w:r>
    </w:p>
    <w:p w14:paraId="3B6EE3E6" w14:textId="510CE96E" w:rsidR="00CB1BA6" w:rsidRPr="00C87891" w:rsidRDefault="00CB1BA6" w:rsidP="00CB1BA6">
      <w:r>
        <w:t>The SAFA parties m</w:t>
      </w:r>
      <w:r w:rsidRPr="00C87891">
        <w:t>ust follow the deadlines outlined in</w:t>
      </w:r>
      <w:r w:rsidR="00632FF6">
        <w:t xml:space="preserve"> </w:t>
      </w:r>
      <w:r w:rsidR="00632FF6">
        <w:fldChar w:fldCharType="begin"/>
      </w:r>
      <w:r w:rsidR="00632FF6">
        <w:instrText xml:space="preserve"> REF _Ref55910097 \r \h </w:instrText>
      </w:r>
      <w:r w:rsidR="00632FF6">
        <w:fldChar w:fldCharType="separate"/>
      </w:r>
      <w:r w:rsidR="009E7709">
        <w:t>C-12-2</w:t>
      </w:r>
      <w:r w:rsidR="00632FF6">
        <w:fldChar w:fldCharType="end"/>
      </w:r>
      <w:r w:rsidR="00BB7BEC">
        <w:t>.</w:t>
      </w:r>
    </w:p>
    <w:p w14:paraId="2829BD3B" w14:textId="77777777" w:rsidR="00CB1BA6" w:rsidRPr="00C87891" w:rsidRDefault="00CB1BA6" w:rsidP="00082AC3">
      <w:pPr>
        <w:pStyle w:val="Heading4"/>
      </w:pPr>
      <w:r w:rsidRPr="00C87891">
        <w:t>Availability and timing of accounting data exchange process</w:t>
      </w:r>
    </w:p>
    <w:p w14:paraId="644D4FA2" w14:textId="510DF274" w:rsidR="00CB1BA6" w:rsidRPr="00C87891" w:rsidRDefault="00CB1BA6" w:rsidP="00CB1BA6">
      <w:pPr>
        <w:widowControl w:val="0"/>
        <w:adjustRightInd w:val="0"/>
        <w:textAlignment w:val="baseline"/>
        <w:rPr>
          <w:rFonts w:ascii="Arial" w:hAnsi="Arial" w:cs="Arial"/>
        </w:rPr>
      </w:pPr>
      <w:r>
        <w:rPr>
          <w:rFonts w:ascii="Arial" w:hAnsi="Arial" w:cs="Arial"/>
        </w:rPr>
        <w:t>The SAFA parties must</w:t>
      </w:r>
      <w:r w:rsidRPr="00C87891">
        <w:rPr>
          <w:rFonts w:ascii="Arial" w:hAnsi="Arial" w:cs="Arial"/>
        </w:rPr>
        <w:t xml:space="preserve"> follow the </w:t>
      </w:r>
      <w:r w:rsidRPr="00C87891">
        <w:t>deadlines outlined</w:t>
      </w:r>
      <w:r w:rsidRPr="00C87891">
        <w:rPr>
          <w:rFonts w:ascii="Arial" w:hAnsi="Arial" w:cs="Arial"/>
        </w:rPr>
        <w:t xml:space="preserve"> in </w:t>
      </w:r>
      <w:r w:rsidR="00632FF6">
        <w:fldChar w:fldCharType="begin"/>
      </w:r>
      <w:r w:rsidR="00632FF6">
        <w:instrText xml:space="preserve"> REF _Ref55910097 \r \h </w:instrText>
      </w:r>
      <w:r w:rsidR="00632FF6">
        <w:fldChar w:fldCharType="separate"/>
      </w:r>
      <w:r w:rsidR="009E7709">
        <w:t>C-12-2</w:t>
      </w:r>
      <w:r w:rsidR="00632FF6">
        <w:fldChar w:fldCharType="end"/>
      </w:r>
      <w:r w:rsidR="00BB7BEC">
        <w:t>.</w:t>
      </w:r>
    </w:p>
    <w:p w14:paraId="04F4D378" w14:textId="77777777" w:rsidR="00CB1BA6" w:rsidRPr="00C87891" w:rsidRDefault="00CB1BA6" w:rsidP="00082AC3">
      <w:pPr>
        <w:pStyle w:val="Heading4"/>
      </w:pPr>
      <w:bookmarkStart w:id="88" w:name="_Ref523390400"/>
      <w:r w:rsidRPr="00C87891">
        <w:t>Troubleshooting procedure</w:t>
      </w:r>
      <w:bookmarkEnd w:id="88"/>
    </w:p>
    <w:p w14:paraId="3F615F5C" w14:textId="71364CB6" w:rsidR="00CB1BA6" w:rsidRPr="00C87891" w:rsidRDefault="00CB1BA6" w:rsidP="00CB1BA6">
      <w:pPr>
        <w:widowControl w:val="0"/>
        <w:adjustRightInd w:val="0"/>
        <w:spacing w:after="60" w:line="360" w:lineRule="atLeast"/>
        <w:textAlignment w:val="baseline"/>
        <w:rPr>
          <w:rFonts w:ascii="Arial" w:hAnsi="Arial" w:cs="Arial"/>
        </w:rPr>
      </w:pPr>
      <w:r>
        <w:rPr>
          <w:rFonts w:ascii="Arial" w:hAnsi="Arial" w:cs="Arial"/>
        </w:rPr>
        <w:t xml:space="preserve">The TSOs have to apply </w:t>
      </w:r>
      <w:r w:rsidR="00246E74">
        <w:rPr>
          <w:rFonts w:ascii="Arial" w:hAnsi="Arial" w:cs="Arial"/>
        </w:rPr>
        <w:t xml:space="preserve">bilaterally </w:t>
      </w:r>
      <w:r>
        <w:rPr>
          <w:rFonts w:ascii="Arial" w:hAnsi="Arial" w:cs="Arial"/>
        </w:rPr>
        <w:t xml:space="preserve">the agreed rules for troubleshooting </w:t>
      </w:r>
      <w:r w:rsidRPr="00C87891">
        <w:rPr>
          <w:rFonts w:ascii="Arial" w:hAnsi="Arial" w:cs="Arial"/>
        </w:rPr>
        <w:t xml:space="preserve">(see </w:t>
      </w:r>
      <w:r w:rsidRPr="00A263F1">
        <w:rPr>
          <w:rFonts w:ascii="Arial" w:hAnsi="Arial" w:cs="Arial"/>
        </w:rPr>
        <w:fldChar w:fldCharType="begin"/>
      </w:r>
      <w:r w:rsidRPr="00C87891">
        <w:rPr>
          <w:rFonts w:ascii="Arial" w:hAnsi="Arial" w:cs="Arial"/>
        </w:rPr>
        <w:instrText xml:space="preserve"> REF _Ref196725668 \r \h  \* MERGEFORMAT </w:instrText>
      </w:r>
      <w:r w:rsidRPr="00A263F1">
        <w:rPr>
          <w:rFonts w:ascii="Arial" w:hAnsi="Arial" w:cs="Arial"/>
        </w:rPr>
      </w:r>
      <w:r w:rsidRPr="00A263F1">
        <w:rPr>
          <w:rFonts w:ascii="Arial" w:hAnsi="Arial" w:cs="Arial"/>
        </w:rPr>
        <w:fldChar w:fldCharType="separate"/>
      </w:r>
      <w:r w:rsidR="009E7709">
        <w:rPr>
          <w:rFonts w:ascii="Arial" w:hAnsi="Arial" w:cs="Arial"/>
        </w:rPr>
        <w:t>C-7-1</w:t>
      </w:r>
      <w:r w:rsidRPr="00A263F1">
        <w:rPr>
          <w:rFonts w:ascii="Arial" w:hAnsi="Arial" w:cs="Arial"/>
        </w:rPr>
        <w:fldChar w:fldCharType="end"/>
      </w:r>
      <w:r w:rsidRPr="00C87891">
        <w:rPr>
          <w:rFonts w:ascii="Arial" w:hAnsi="Arial" w:cs="Arial"/>
        </w:rPr>
        <w:t>).</w:t>
      </w:r>
    </w:p>
    <w:p w14:paraId="7155B572" w14:textId="21606F97" w:rsidR="00CB1BA6" w:rsidRDefault="00CB1BA6" w:rsidP="00632FF6">
      <w:pPr>
        <w:widowControl w:val="0"/>
        <w:adjustRightInd w:val="0"/>
        <w:spacing w:after="60" w:line="360" w:lineRule="atLeast"/>
        <w:textAlignment w:val="baseline"/>
        <w:rPr>
          <w:rFonts w:ascii="Arial" w:hAnsi="Arial" w:cs="Arial"/>
        </w:rPr>
      </w:pPr>
      <w:r w:rsidRPr="00C87891">
        <w:rPr>
          <w:rFonts w:ascii="Arial" w:hAnsi="Arial" w:cs="Arial"/>
        </w:rPr>
        <w:t>The TSO are obliged to send their available</w:t>
      </w:r>
      <w:r w:rsidR="00246E74">
        <w:rPr>
          <w:rFonts w:ascii="Arial" w:hAnsi="Arial" w:cs="Arial"/>
        </w:rPr>
        <w:t xml:space="preserve"> or substitute</w:t>
      </w:r>
      <w:r w:rsidRPr="00C87891">
        <w:rPr>
          <w:rFonts w:ascii="Arial" w:hAnsi="Arial" w:cs="Arial"/>
        </w:rPr>
        <w:t xml:space="preserve"> Accounting Data even if values do not match at deadline</w:t>
      </w:r>
      <w:r w:rsidR="00246E74">
        <w:rPr>
          <w:rFonts w:ascii="Arial" w:hAnsi="Arial" w:cs="Arial"/>
        </w:rPr>
        <w:t xml:space="preserve"> (see </w:t>
      </w:r>
      <w:r w:rsidR="00246E74" w:rsidRPr="00A263F1">
        <w:rPr>
          <w:rFonts w:ascii="Arial" w:hAnsi="Arial" w:cs="Arial"/>
        </w:rPr>
        <w:fldChar w:fldCharType="begin"/>
      </w:r>
      <w:r w:rsidR="00246E74">
        <w:rPr>
          <w:rFonts w:ascii="Arial" w:hAnsi="Arial" w:cs="Arial"/>
        </w:rPr>
        <w:instrText xml:space="preserve"> REF _Ref62107897 \r \h </w:instrText>
      </w:r>
      <w:r w:rsidR="00246E74" w:rsidRPr="00A263F1">
        <w:rPr>
          <w:rFonts w:ascii="Arial" w:hAnsi="Arial" w:cs="Arial"/>
        </w:rPr>
      </w:r>
      <w:r w:rsidR="00246E74" w:rsidRPr="00A263F1">
        <w:rPr>
          <w:rFonts w:ascii="Arial" w:hAnsi="Arial" w:cs="Arial"/>
        </w:rPr>
        <w:fldChar w:fldCharType="separate"/>
      </w:r>
      <w:r w:rsidR="009E7709">
        <w:rPr>
          <w:rFonts w:ascii="Arial" w:hAnsi="Arial" w:cs="Arial"/>
        </w:rPr>
        <w:t>C-12-2</w:t>
      </w:r>
      <w:r w:rsidR="00246E74" w:rsidRPr="00A263F1">
        <w:rPr>
          <w:rFonts w:ascii="Arial" w:hAnsi="Arial" w:cs="Arial"/>
        </w:rPr>
        <w:fldChar w:fldCharType="end"/>
      </w:r>
      <w:r w:rsidR="00246E74">
        <w:rPr>
          <w:rFonts w:ascii="Arial" w:hAnsi="Arial" w:cs="Arial"/>
        </w:rPr>
        <w:t>)</w:t>
      </w:r>
      <w:r w:rsidRPr="00C87891">
        <w:rPr>
          <w:rFonts w:ascii="Arial" w:hAnsi="Arial" w:cs="Arial"/>
        </w:rPr>
        <w:t>.</w:t>
      </w:r>
    </w:p>
    <w:p w14:paraId="0E87C1F4" w14:textId="64B0DFFA" w:rsidR="006343B0" w:rsidRDefault="006343B0" w:rsidP="006343B0">
      <w:pPr>
        <w:pStyle w:val="Heading3"/>
      </w:pPr>
      <w:bookmarkStart w:id="89" w:name="_Toc90297819"/>
      <w:r w:rsidRPr="00C87891">
        <w:t>Workflow of accounting process</w:t>
      </w:r>
      <w:bookmarkEnd w:id="83"/>
      <w:bookmarkEnd w:id="89"/>
    </w:p>
    <w:p w14:paraId="7C5BA332" w14:textId="7093A980" w:rsidR="005C17D5" w:rsidRPr="00C87891" w:rsidRDefault="005C17D5" w:rsidP="005C17D5">
      <w:r w:rsidRPr="00C87891">
        <w:t>The workflow of the Accounting Process</w:t>
      </w:r>
      <w:r>
        <w:t xml:space="preserve"> </w:t>
      </w:r>
      <w:r w:rsidRPr="00C87891">
        <w:t xml:space="preserve">is described in the </w:t>
      </w:r>
      <w:r w:rsidRPr="00D9296D">
        <w:t>ACCOUNTING AND FINANCIAL SETTLEMENT OF KF, ACE AND RAMPING PERIOD (FSKAR) IMPLEMENTATION GUIDE.</w:t>
      </w:r>
      <w:r w:rsidRPr="00C87891">
        <w:t xml:space="preserve"> </w:t>
      </w:r>
    </w:p>
    <w:p w14:paraId="0DBC823F" w14:textId="4BDBF0F4" w:rsidR="001F14B5" w:rsidRPr="001F14B5" w:rsidRDefault="00CB1BA6" w:rsidP="00B21E31">
      <w:pPr>
        <w:pStyle w:val="Heading4"/>
      </w:pPr>
      <w:r>
        <w:t>Inputs</w:t>
      </w:r>
    </w:p>
    <w:p w14:paraId="14F216DD" w14:textId="056B5241" w:rsidR="00CB1BA6" w:rsidRDefault="00DF2746" w:rsidP="00632FF6">
      <w:r w:rsidRPr="00DF2746">
        <w:t xml:space="preserve">The Verification Platform provides the scheduled exchanges </w:t>
      </w:r>
      <w:r w:rsidR="00A047AA">
        <w:t>(</w:t>
      </w:r>
      <w:r w:rsidR="00A047AA" w:rsidRPr="00CB1BA6">
        <w:t>ANES</w:t>
      </w:r>
      <w:r w:rsidR="00A047AA">
        <w:t xml:space="preserve">) </w:t>
      </w:r>
      <w:r w:rsidRPr="00DF2746">
        <w:t xml:space="preserve">to </w:t>
      </w:r>
      <w:r w:rsidRPr="00ED2BE9">
        <w:t xml:space="preserve">the </w:t>
      </w:r>
      <w:r w:rsidR="002E2691">
        <w:t>Coordination</w:t>
      </w:r>
      <w:r w:rsidR="008D666C">
        <w:t xml:space="preserve"> Centre</w:t>
      </w:r>
      <w:r w:rsidRPr="00ED2BE9">
        <w:t xml:space="preserve">s. </w:t>
      </w:r>
    </w:p>
    <w:p w14:paraId="7E1E04EF" w14:textId="727D547B" w:rsidR="004F0BAB" w:rsidRDefault="00846050" w:rsidP="0019363E">
      <w:r w:rsidRPr="009E0E53">
        <w:t xml:space="preserve">TSOs with </w:t>
      </w:r>
      <w:r w:rsidRPr="0019363E">
        <w:t>yearly K-factors</w:t>
      </w:r>
      <w:r w:rsidRPr="009E0E53">
        <w:t xml:space="preserve"> send them to the </w:t>
      </w:r>
      <w:r w:rsidR="002E2691">
        <w:t>Coordination</w:t>
      </w:r>
      <w:r w:rsidR="008D666C" w:rsidRPr="009E0E53">
        <w:t xml:space="preserve"> Centre</w:t>
      </w:r>
      <w:r w:rsidRPr="009E0E53">
        <w:t xml:space="preserve">s once per year. </w:t>
      </w:r>
      <w:r w:rsidR="00DF2746" w:rsidRPr="009E0E53">
        <w:t xml:space="preserve">TSOs participating in the FCR cooperation update these </w:t>
      </w:r>
      <w:r w:rsidR="00DF2746" w:rsidRPr="0019363E">
        <w:t>K-factors</w:t>
      </w:r>
      <w:r w:rsidR="00DF2746" w:rsidRPr="009E0E53">
        <w:t xml:space="preserve"> on a daily basis with 4h-resolution,</w:t>
      </w:r>
      <w:r w:rsidRPr="009E0E53">
        <w:t xml:space="preserve"> </w:t>
      </w:r>
      <w:r w:rsidR="00DF2746" w:rsidRPr="00E16283">
        <w:t xml:space="preserve">therefore </w:t>
      </w:r>
      <w:r w:rsidRPr="00E16283">
        <w:t xml:space="preserve">they </w:t>
      </w:r>
      <w:r w:rsidR="00DF2746" w:rsidRPr="00E16283">
        <w:t xml:space="preserve">are required to additionally send the updated K-factors to the </w:t>
      </w:r>
      <w:r w:rsidR="002E2691">
        <w:t>Coordination</w:t>
      </w:r>
      <w:r w:rsidR="008D666C" w:rsidRPr="00E16283">
        <w:t xml:space="preserve"> Centre</w:t>
      </w:r>
      <w:r w:rsidR="00DF2746" w:rsidRPr="00E16283">
        <w:t>s</w:t>
      </w:r>
      <w:r w:rsidR="00DF2746" w:rsidRPr="0019363E">
        <w:t xml:space="preserve">. </w:t>
      </w:r>
      <w:r w:rsidR="00ED2BE9" w:rsidRPr="0EFB0128">
        <w:t xml:space="preserve">System Operator Swissgrid sends the </w:t>
      </w:r>
      <w:r w:rsidR="00ED2BE9" w:rsidRPr="009E0E53">
        <w:rPr>
          <w:b/>
          <w:bCs/>
        </w:rPr>
        <w:t>Δ</w:t>
      </w:r>
      <w:r w:rsidR="00ED2BE9" w:rsidRPr="009E0E53">
        <w:rPr>
          <w:b/>
          <w:bCs/>
          <w:i/>
          <w:iCs/>
        </w:rPr>
        <w:t>f</w:t>
      </w:r>
      <w:r w:rsidR="00ED2BE9" w:rsidRPr="0EFB0128">
        <w:t xml:space="preserve"> to the </w:t>
      </w:r>
      <w:r w:rsidR="002E2691">
        <w:t>Coordination</w:t>
      </w:r>
      <w:r w:rsidR="008D666C">
        <w:t xml:space="preserve"> Centre</w:t>
      </w:r>
      <w:r w:rsidR="002A06BE">
        <w:t>s</w:t>
      </w:r>
      <w:r w:rsidR="0019363E">
        <w:t>.</w:t>
      </w:r>
    </w:p>
    <w:p w14:paraId="51DA87D6" w14:textId="10A9B289" w:rsidR="005B111B" w:rsidRDefault="005B111B" w:rsidP="0019363E">
      <w:r>
        <w:t xml:space="preserve">The submission deadline of these data is the first working day after energy delivery as detailed in the </w:t>
      </w:r>
      <w:r>
        <w:fldChar w:fldCharType="begin"/>
      </w:r>
      <w:r>
        <w:instrText xml:space="preserve"> REF _Ref54956661 \h </w:instrText>
      </w:r>
      <w:r>
        <w:fldChar w:fldCharType="separate"/>
      </w:r>
      <w:r w:rsidR="009E7709" w:rsidRPr="00C87891">
        <w:t xml:space="preserve">Table </w:t>
      </w:r>
      <w:r w:rsidR="009E7709">
        <w:rPr>
          <w:noProof/>
        </w:rPr>
        <w:t>2</w:t>
      </w:r>
      <w:r w:rsidR="009E7709" w:rsidRPr="00C87891">
        <w:t>: Timetable for daily accounting and settlement process</w:t>
      </w:r>
      <w:r>
        <w:fldChar w:fldCharType="end"/>
      </w:r>
      <w:r>
        <w:t>.</w:t>
      </w:r>
    </w:p>
    <w:bookmarkEnd w:id="84"/>
    <w:p w14:paraId="58A47361" w14:textId="60568D05" w:rsidR="003C5055" w:rsidRDefault="00ED2BE9" w:rsidP="00B21E31">
      <w:pPr>
        <w:pStyle w:val="Heading4"/>
      </w:pPr>
      <w:r>
        <w:t>O</w:t>
      </w:r>
      <w:r w:rsidR="00CB1BA6">
        <w:t>utputs</w:t>
      </w:r>
    </w:p>
    <w:p w14:paraId="6155FA18" w14:textId="1662D5F9" w:rsidR="00333114" w:rsidRPr="00E409A9" w:rsidRDefault="00333114" w:rsidP="00333114">
      <w:r w:rsidRPr="0EFB0128">
        <w:t>The energy exchange</w:t>
      </w:r>
      <w:r>
        <w:t>s</w:t>
      </w:r>
      <w:r w:rsidRPr="0EFB0128">
        <w:t xml:space="preserve"> </w:t>
      </w:r>
      <w:r>
        <w:t>are</w:t>
      </w:r>
      <w:r w:rsidRPr="0EFB0128">
        <w:t xml:space="preserve"> calculated as follows:</w:t>
      </w:r>
    </w:p>
    <w:p w14:paraId="3645BE52" w14:textId="6E7E4220" w:rsidR="00CB1BA6" w:rsidRPr="00BA1908" w:rsidRDefault="00CB1BA6" w:rsidP="00333114">
      <w:pPr>
        <w:widowControl w:val="0"/>
        <w:adjustRightInd w:val="0"/>
        <w:spacing w:after="60" w:line="360" w:lineRule="atLeast"/>
        <w:textAlignment w:val="baseline"/>
        <w:rPr>
          <w:rStyle w:val="Strong"/>
          <w:b w:val="0"/>
          <w:bCs w:val="0"/>
        </w:rPr>
      </w:pPr>
      <w:r>
        <w:t>FCP Energy, for each LFC area or LFC block, using the corresponding K-factor, the frequency deviation Δ</w:t>
      </w:r>
      <w:r w:rsidRPr="009E0E53">
        <w:rPr>
          <w:i/>
          <w:iCs/>
        </w:rPr>
        <w:t>f</w:t>
      </w:r>
      <w:r w:rsidR="00541F8A">
        <w:t>:</w:t>
      </w:r>
    </w:p>
    <w:p w14:paraId="0FF60911" w14:textId="780D2791" w:rsidR="00333114" w:rsidRPr="00CB1BA6" w:rsidRDefault="00394B4C" w:rsidP="00333114">
      <w:pPr>
        <w:widowControl w:val="0"/>
        <w:adjustRightInd w:val="0"/>
        <w:spacing w:after="60" w:line="360" w:lineRule="atLeast"/>
        <w:textAlignment w:val="baseline"/>
      </w:pPr>
      <m:oMathPara>
        <m:oMath>
          <m:sSub>
            <m:sSubPr>
              <m:ctrlPr>
                <w:rPr>
                  <w:rFonts w:ascii="Cambria Math" w:hAnsi="Cambria Math"/>
                  <w:i/>
                </w:rPr>
              </m:ctrlPr>
            </m:sSubPr>
            <m:e>
              <m:r>
                <w:rPr>
                  <w:rFonts w:ascii="Cambria Math" w:hAnsi="Cambria Math"/>
                </w:rPr>
                <m:t>E</m:t>
              </m:r>
            </m:e>
            <m:sub>
              <m:r>
                <w:rPr>
                  <w:rFonts w:ascii="Cambria Math" w:hAnsi="Cambria Math"/>
                </w:rPr>
                <m:t>FCP</m:t>
              </m:r>
            </m:sub>
          </m:sSub>
          <m:r>
            <w:rPr>
              <w:rFonts w:ascii="Cambria Math" w:hAnsi="Cambria Math"/>
            </w:rPr>
            <m:t>=-k*∆f*</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h</m:t>
          </m:r>
        </m:oMath>
      </m:oMathPara>
    </w:p>
    <w:p w14:paraId="73191AE6" w14:textId="1C47B5CD" w:rsidR="00CB1BA6" w:rsidRPr="00EF4B73" w:rsidRDefault="00CB1BA6" w:rsidP="00333114">
      <w:pPr>
        <w:widowControl w:val="0"/>
        <w:adjustRightInd w:val="0"/>
        <w:spacing w:after="60" w:line="360" w:lineRule="atLeast"/>
        <w:textAlignment w:val="baseline"/>
      </w:pPr>
      <w:r>
        <w:t>RP Energy for the quarter hour n referring to the scheduled ANES</w:t>
      </w:r>
      <w:r w:rsidR="006A1235">
        <w:t xml:space="preserve"> (MW)</w:t>
      </w:r>
      <w:r>
        <w:t xml:space="preserve"> in quarter-hours n-1 and n+1 (previous and following quarter hours)</w:t>
      </w:r>
      <w:r w:rsidR="00541F8A">
        <w:t>:</w:t>
      </w:r>
    </w:p>
    <w:p w14:paraId="5ABACAEB" w14:textId="54773231" w:rsidR="00EF4B73" w:rsidRPr="00CB1BA6" w:rsidRDefault="00394B4C" w:rsidP="00333114">
      <w:pPr>
        <w:widowControl w:val="0"/>
        <w:adjustRightInd w:val="0"/>
        <w:spacing w:after="60" w:line="360" w:lineRule="atLeast"/>
        <w:textAlignment w:val="baseline"/>
      </w:pPr>
      <m:oMathPara>
        <m:oMath>
          <m:sSub>
            <m:sSubPr>
              <m:ctrlPr>
                <w:rPr>
                  <w:rFonts w:ascii="Cambria Math" w:hAnsi="Cambria Math"/>
                  <w:i/>
                </w:rPr>
              </m:ctrlPr>
            </m:sSubPr>
            <m:e>
              <m:r>
                <w:rPr>
                  <w:rFonts w:ascii="Cambria Math" w:hAnsi="Cambria Math"/>
                </w:rPr>
                <m:t>E</m:t>
              </m:r>
            </m:e>
            <m:sub>
              <m:r>
                <w:rPr>
                  <w:rFonts w:ascii="Cambria Math" w:hAnsi="Cambria Math"/>
                </w:rPr>
                <m:t>RP</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ANE</m:t>
                  </m:r>
                  <m:sSub>
                    <m:sSubPr>
                      <m:ctrlPr>
                        <w:rPr>
                          <w:rFonts w:ascii="Cambria Math" w:hAnsi="Cambria Math"/>
                          <w:i/>
                        </w:rPr>
                      </m:ctrlPr>
                    </m:sSubPr>
                    <m:e>
                      <m:r>
                        <w:rPr>
                          <w:rFonts w:ascii="Cambria Math" w:hAnsi="Cambria Math"/>
                        </w:rPr>
                        <m:t>S</m:t>
                      </m:r>
                    </m:e>
                    <m:sub>
                      <m:r>
                        <w:rPr>
                          <w:rFonts w:ascii="Cambria Math" w:hAnsi="Cambria Math"/>
                        </w:rPr>
                        <m:t>n-1</m:t>
                      </m:r>
                    </m:sub>
                  </m:sSub>
                  <m:r>
                    <w:rPr>
                      <w:rFonts w:ascii="Cambria Math" w:hAnsi="Cambria Math"/>
                    </w:rPr>
                    <m:t>-ANE</m:t>
                  </m:r>
                  <m:sSub>
                    <m:sSubPr>
                      <m:ctrlPr>
                        <w:rPr>
                          <w:rFonts w:ascii="Cambria Math" w:hAnsi="Cambria Math"/>
                          <w:i/>
                        </w:rPr>
                      </m:ctrlPr>
                    </m:sSubPr>
                    <m:e>
                      <m:r>
                        <w:rPr>
                          <w:rFonts w:ascii="Cambria Math" w:hAnsi="Cambria Math"/>
                        </w:rPr>
                        <m:t>S</m:t>
                      </m:r>
                    </m:e>
                    <m:sub>
                      <m:r>
                        <w:rPr>
                          <w:rFonts w:ascii="Cambria Math" w:hAnsi="Cambria Math"/>
                        </w:rPr>
                        <m:t>n</m:t>
                      </m:r>
                    </m:sub>
                  </m:sSub>
                </m:e>
              </m:d>
              <m:r>
                <w:rPr>
                  <w:rFonts w:ascii="Cambria Math" w:hAnsi="Cambria Math"/>
                </w:rPr>
                <m:t>/2</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60</m:t>
              </m:r>
            </m:den>
          </m:f>
          <m:r>
            <w:rPr>
              <w:rFonts w:ascii="Cambria Math" w:hAnsi="Cambria Math"/>
            </w:rPr>
            <m:t>h+</m:t>
          </m:r>
          <m:f>
            <m:fPr>
              <m:ctrlPr>
                <w:rPr>
                  <w:rFonts w:ascii="Cambria Math" w:hAnsi="Cambria Math"/>
                  <w:i/>
                </w:rPr>
              </m:ctrlPr>
            </m:fPr>
            <m:num>
              <m:d>
                <m:dPr>
                  <m:ctrlPr>
                    <w:rPr>
                      <w:rFonts w:ascii="Cambria Math" w:hAnsi="Cambria Math"/>
                      <w:i/>
                    </w:rPr>
                  </m:ctrlPr>
                </m:dPr>
                <m:e>
                  <m:r>
                    <w:rPr>
                      <w:rFonts w:ascii="Cambria Math" w:hAnsi="Cambria Math"/>
                    </w:rPr>
                    <m:t>ANE</m:t>
                  </m:r>
                  <m:sSub>
                    <m:sSubPr>
                      <m:ctrlPr>
                        <w:rPr>
                          <w:rFonts w:ascii="Cambria Math" w:hAnsi="Cambria Math"/>
                          <w:i/>
                        </w:rPr>
                      </m:ctrlPr>
                    </m:sSubPr>
                    <m:e>
                      <m:r>
                        <w:rPr>
                          <w:rFonts w:ascii="Cambria Math" w:hAnsi="Cambria Math"/>
                        </w:rPr>
                        <m:t>S</m:t>
                      </m:r>
                    </m:e>
                    <m:sub>
                      <m:r>
                        <w:rPr>
                          <w:rFonts w:ascii="Cambria Math" w:hAnsi="Cambria Math"/>
                        </w:rPr>
                        <m:t>n+1</m:t>
                      </m:r>
                    </m:sub>
                  </m:sSub>
                  <m:r>
                    <w:rPr>
                      <w:rFonts w:ascii="Cambria Math" w:hAnsi="Cambria Math"/>
                    </w:rPr>
                    <m:t>-ANE</m:t>
                  </m:r>
                  <m:sSub>
                    <m:sSubPr>
                      <m:ctrlPr>
                        <w:rPr>
                          <w:rFonts w:ascii="Cambria Math" w:hAnsi="Cambria Math"/>
                          <w:i/>
                        </w:rPr>
                      </m:ctrlPr>
                    </m:sSubPr>
                    <m:e>
                      <m:r>
                        <w:rPr>
                          <w:rFonts w:ascii="Cambria Math" w:hAnsi="Cambria Math"/>
                        </w:rPr>
                        <m:t>S</m:t>
                      </m:r>
                    </m:e>
                    <m:sub>
                      <m:r>
                        <w:rPr>
                          <w:rFonts w:ascii="Cambria Math" w:hAnsi="Cambria Math"/>
                        </w:rPr>
                        <m:t>n</m:t>
                      </m:r>
                    </m:sub>
                  </m:sSub>
                </m:e>
              </m:d>
              <m:r>
                <w:rPr>
                  <w:rFonts w:ascii="Cambria Math" w:hAnsi="Cambria Math"/>
                </w:rPr>
                <m:t>/2</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60</m:t>
              </m:r>
            </m:den>
          </m:f>
          <m:r>
            <w:rPr>
              <w:rFonts w:ascii="Cambria Math" w:hAnsi="Cambria Math"/>
            </w:rPr>
            <m:t>h</m:t>
          </m:r>
        </m:oMath>
      </m:oMathPara>
    </w:p>
    <w:p w14:paraId="7BCD72B7" w14:textId="4BE70A44" w:rsidR="00CB1BA6" w:rsidRPr="00116E5D" w:rsidRDefault="00CB1BA6" w:rsidP="00333114">
      <w:pPr>
        <w:widowControl w:val="0"/>
        <w:adjustRightInd w:val="0"/>
        <w:spacing w:after="60" w:line="360" w:lineRule="atLeast"/>
        <w:textAlignment w:val="baseline"/>
      </w:pPr>
      <w:r>
        <w:t>UE Energy</w:t>
      </w:r>
      <w:r w:rsidR="00541F8A">
        <w:t>:</w:t>
      </w:r>
    </w:p>
    <w:p w14:paraId="6CC6865F" w14:textId="77777777" w:rsidR="00333114" w:rsidRPr="00BA1908" w:rsidRDefault="00394B4C" w:rsidP="00333114">
      <w:pPr>
        <w:widowControl w:val="0"/>
        <w:adjustRightInd w:val="0"/>
        <w:spacing w:after="60" w:line="360" w:lineRule="atLeast"/>
        <w:textAlignment w:val="baseline"/>
        <w:rPr>
          <w:rStyle w:val="Strong"/>
          <w:b w:val="0"/>
          <w:bCs w:val="0"/>
        </w:rPr>
      </w:pPr>
      <m:oMathPara>
        <m:oMath>
          <m:sSub>
            <m:sSubPr>
              <m:ctrlPr>
                <w:rPr>
                  <w:rFonts w:ascii="Cambria Math" w:hAnsi="Cambria Math"/>
                  <w:i/>
                </w:rPr>
              </m:ctrlPr>
            </m:sSubPr>
            <m:e>
              <m:r>
                <w:rPr>
                  <w:rFonts w:ascii="Cambria Math" w:hAnsi="Cambria Math"/>
                </w:rPr>
                <m:t>E</m:t>
              </m:r>
            </m:e>
            <m:sub>
              <m:r>
                <w:rPr>
                  <w:rFonts w:ascii="Cambria Math" w:hAnsi="Cambria Math"/>
                </w:rPr>
                <m:t>ue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ex</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sch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VTL</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FCP</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RP</m:t>
              </m:r>
            </m:sub>
          </m:sSub>
        </m:oMath>
      </m:oMathPara>
    </w:p>
    <w:p w14:paraId="171DE95E" w14:textId="77777777" w:rsidR="00333114" w:rsidRPr="00E409A9" w:rsidRDefault="00333114" w:rsidP="00333114"/>
    <w:p w14:paraId="718E828D" w14:textId="4146CA39" w:rsidR="00333114" w:rsidRPr="00E409A9" w:rsidRDefault="00333114" w:rsidP="00333114">
      <w:r w:rsidRPr="0EFB0128">
        <w:t>The parameters in the calculations refer to the cross-border energy exchange that is intended (E</w:t>
      </w:r>
      <w:r w:rsidRPr="0EFB0128">
        <w:rPr>
          <w:vertAlign w:val="subscript"/>
        </w:rPr>
        <w:t>ie</w:t>
      </w:r>
      <w:r w:rsidRPr="0EFB0128">
        <w:t>), done through virtual tie lines (E</w:t>
      </w:r>
      <w:r w:rsidRPr="0EFB0128">
        <w:rPr>
          <w:vertAlign w:val="subscript"/>
        </w:rPr>
        <w:t>VTL</w:t>
      </w:r>
      <w:r w:rsidRPr="0EFB0128">
        <w:t>), a result of FCP (E</w:t>
      </w:r>
      <w:r w:rsidRPr="0EFB0128">
        <w:rPr>
          <w:vertAlign w:val="subscript"/>
        </w:rPr>
        <w:t>FCP</w:t>
      </w:r>
      <w:r w:rsidRPr="0EFB0128">
        <w:t>) and ramping period processes (E</w:t>
      </w:r>
      <w:r w:rsidRPr="0EFB0128">
        <w:rPr>
          <w:vertAlign w:val="subscript"/>
        </w:rPr>
        <w:t>RP</w:t>
      </w:r>
      <w:r w:rsidRPr="0EFB0128">
        <w:t>) or unintended (E</w:t>
      </w:r>
      <w:r w:rsidRPr="0EFB0128">
        <w:rPr>
          <w:vertAlign w:val="subscript"/>
        </w:rPr>
        <w:t>ue</w:t>
      </w:r>
      <w:r w:rsidRPr="0EFB0128">
        <w:t xml:space="preserve">). </w:t>
      </w:r>
    </w:p>
    <w:p w14:paraId="09F6B5AD" w14:textId="13F82BC0" w:rsidR="003C5055" w:rsidRDefault="00333114" w:rsidP="00333114">
      <w:pPr>
        <w:jc w:val="left"/>
      </w:pPr>
      <w:r w:rsidRPr="0EFB0128">
        <w:t>The outputs of the accounting function are E</w:t>
      </w:r>
      <w:r w:rsidRPr="0EFB0128">
        <w:rPr>
          <w:vertAlign w:val="subscript"/>
        </w:rPr>
        <w:t>FCP</w:t>
      </w:r>
      <w:r w:rsidRPr="0EFB0128">
        <w:t>, E</w:t>
      </w:r>
      <w:r w:rsidRPr="0EFB0128">
        <w:rPr>
          <w:vertAlign w:val="subscript"/>
        </w:rPr>
        <w:t>RP</w:t>
      </w:r>
      <w:r w:rsidRPr="0EFB0128">
        <w:t xml:space="preserve"> and E</w:t>
      </w:r>
      <w:r w:rsidR="002A63E1">
        <w:rPr>
          <w:vertAlign w:val="subscript"/>
        </w:rPr>
        <w:t>UE</w:t>
      </w:r>
      <w:r w:rsidRPr="0EFB0128">
        <w:t xml:space="preserve">. </w:t>
      </w:r>
    </w:p>
    <w:p w14:paraId="36A6779B" w14:textId="2B3B54BA" w:rsidR="002A63E1" w:rsidRDefault="002A63E1" w:rsidP="00632FF6">
      <w:pPr>
        <w:pStyle w:val="Heading4"/>
      </w:pPr>
      <w:r>
        <w:t>Daily Settlement Report</w:t>
      </w:r>
    </w:p>
    <w:p w14:paraId="1E2E3385" w14:textId="5C6F227B" w:rsidR="002A63E1" w:rsidRDefault="002A63E1" w:rsidP="00632FF6">
      <w:r>
        <w:t>As a result of the Accounting Process, the TSOs receive for their corresponding LFC area the following results through the Daily Settlement Report (DSR), for each TSO-TSO settlement period of the day:</w:t>
      </w:r>
    </w:p>
    <w:p w14:paraId="645F101E" w14:textId="77777777" w:rsidR="00094F96" w:rsidRDefault="00094F96" w:rsidP="00094F96">
      <w:pPr>
        <w:pStyle w:val="ListParagraph"/>
        <w:numPr>
          <w:ilvl w:val="0"/>
          <w:numId w:val="70"/>
        </w:numPr>
      </w:pPr>
      <w:r>
        <w:t>Scheduled energy exchanges for each border (ANES) – individual schedules will be reported</w:t>
      </w:r>
    </w:p>
    <w:p w14:paraId="2DFA4609" w14:textId="77777777" w:rsidR="00094F96" w:rsidRDefault="00094F96" w:rsidP="00094F96">
      <w:pPr>
        <w:pStyle w:val="ListParagraph"/>
        <w:numPr>
          <w:ilvl w:val="0"/>
          <w:numId w:val="70"/>
        </w:numPr>
      </w:pPr>
      <w:r>
        <w:t>The scheduled energy exchanges will include the compensation program, for the transition phase (from compensation programs to financial settlement)</w:t>
      </w:r>
    </w:p>
    <w:p w14:paraId="755D99C3" w14:textId="77777777" w:rsidR="00094F96" w:rsidRDefault="00094F96" w:rsidP="00094F96">
      <w:pPr>
        <w:pStyle w:val="ListParagraph"/>
        <w:numPr>
          <w:ilvl w:val="0"/>
          <w:numId w:val="70"/>
        </w:numPr>
      </w:pPr>
      <w:r>
        <w:t>Intended energy exchange for each Virtual Tie-Line (as reported in SOVA files) – individual tie-line exchanges will be reported</w:t>
      </w:r>
    </w:p>
    <w:p w14:paraId="22E0CD85" w14:textId="77777777" w:rsidR="00094F96" w:rsidRDefault="00094F96" w:rsidP="00094F96">
      <w:pPr>
        <w:pStyle w:val="ListParagraph"/>
        <w:numPr>
          <w:ilvl w:val="0"/>
          <w:numId w:val="70"/>
        </w:numPr>
      </w:pPr>
      <w:r>
        <w:t>Metered Tie-Line flows for each Tie-Line (as reported in SOVA files) –per individual Tie-Line</w:t>
      </w:r>
    </w:p>
    <w:p w14:paraId="475532F4" w14:textId="7CDDB33A" w:rsidR="002A63E1" w:rsidRDefault="002A63E1" w:rsidP="00632FF6">
      <w:pPr>
        <w:pStyle w:val="ListParagraph"/>
        <w:numPr>
          <w:ilvl w:val="0"/>
          <w:numId w:val="70"/>
        </w:numPr>
      </w:pPr>
      <w:r>
        <w:t>K-factors</w:t>
      </w:r>
    </w:p>
    <w:p w14:paraId="6031A6AA" w14:textId="53D6E194" w:rsidR="002A63E1" w:rsidRDefault="002A63E1" w:rsidP="00632FF6">
      <w:pPr>
        <w:pStyle w:val="ListParagraph"/>
        <w:numPr>
          <w:ilvl w:val="0"/>
          <w:numId w:val="70"/>
        </w:numPr>
      </w:pPr>
      <w:r>
        <w:t>Frequency Deviation</w:t>
      </w:r>
    </w:p>
    <w:p w14:paraId="7598C13B" w14:textId="2CC3DC30" w:rsidR="002A63E1" w:rsidRDefault="002A63E1" w:rsidP="00632FF6">
      <w:pPr>
        <w:pStyle w:val="ListParagraph"/>
        <w:numPr>
          <w:ilvl w:val="0"/>
          <w:numId w:val="70"/>
        </w:numPr>
      </w:pPr>
      <w:r>
        <w:t>Volumes of FCP Energy</w:t>
      </w:r>
      <w:r w:rsidR="00BB7BEC">
        <w:t xml:space="preserve"> for each TSO</w:t>
      </w:r>
    </w:p>
    <w:p w14:paraId="695ED817" w14:textId="411F5D06" w:rsidR="002A63E1" w:rsidRDefault="002A63E1" w:rsidP="00632FF6">
      <w:pPr>
        <w:pStyle w:val="ListParagraph"/>
        <w:numPr>
          <w:ilvl w:val="0"/>
          <w:numId w:val="70"/>
        </w:numPr>
      </w:pPr>
      <w:r>
        <w:t>Volumes of RP Energy</w:t>
      </w:r>
      <w:r w:rsidR="00BB7BEC">
        <w:t xml:space="preserve"> for each TSO</w:t>
      </w:r>
    </w:p>
    <w:p w14:paraId="5FF6315D" w14:textId="4BD53787" w:rsidR="002A63E1" w:rsidRPr="00632FF6" w:rsidRDefault="002A63E1" w:rsidP="00632FF6">
      <w:pPr>
        <w:pStyle w:val="ListParagraph"/>
        <w:numPr>
          <w:ilvl w:val="0"/>
          <w:numId w:val="70"/>
        </w:numPr>
      </w:pPr>
      <w:r>
        <w:t>Volumes of UE Energy</w:t>
      </w:r>
      <w:r w:rsidR="00BB7BEC">
        <w:t xml:space="preserve"> for each TSO</w:t>
      </w:r>
    </w:p>
    <w:p w14:paraId="3990F1CC" w14:textId="4458DB0B" w:rsidR="00ED2BE9" w:rsidRDefault="002A63E1" w:rsidP="003A5F0E">
      <w:pPr>
        <w:rPr>
          <w:rFonts w:ascii="Arial" w:hAnsi="Arial" w:cs="Arial"/>
        </w:rPr>
      </w:pPr>
      <w:r>
        <w:rPr>
          <w:rFonts w:ascii="Arial" w:hAnsi="Arial" w:cs="Arial"/>
        </w:rPr>
        <w:t xml:space="preserve">The TSOs have 4 Working Days to review the DSR for each day. In case of needed corrections, TSOs shall inform the </w:t>
      </w:r>
      <w:r w:rsidR="002E2691">
        <w:rPr>
          <w:rFonts w:ascii="Arial" w:hAnsi="Arial" w:cs="Arial"/>
        </w:rPr>
        <w:t>Coordination</w:t>
      </w:r>
      <w:r w:rsidR="00BB7BEC">
        <w:rPr>
          <w:rFonts w:ascii="Arial" w:hAnsi="Arial" w:cs="Arial"/>
        </w:rPr>
        <w:t xml:space="preserve"> Centres</w:t>
      </w:r>
      <w:r>
        <w:rPr>
          <w:rFonts w:ascii="Arial" w:hAnsi="Arial" w:cs="Arial"/>
        </w:rPr>
        <w:t xml:space="preserve"> immediately and align bilaterally to correct the data. After corrections, </w:t>
      </w:r>
      <w:r w:rsidR="002E2691">
        <w:rPr>
          <w:rFonts w:ascii="Arial" w:hAnsi="Arial" w:cs="Arial"/>
        </w:rPr>
        <w:t>Coordination</w:t>
      </w:r>
      <w:r w:rsidR="00BB7BEC">
        <w:rPr>
          <w:rFonts w:ascii="Arial" w:hAnsi="Arial" w:cs="Arial"/>
        </w:rPr>
        <w:t xml:space="preserve"> Centres</w:t>
      </w:r>
      <w:r>
        <w:rPr>
          <w:rFonts w:ascii="Arial" w:hAnsi="Arial" w:cs="Arial"/>
        </w:rPr>
        <w:t xml:space="preserve"> shall send a corrected DSR to the TSOs. This concludes the Accounting Process.</w:t>
      </w:r>
    </w:p>
    <w:p w14:paraId="70064EC6" w14:textId="5F988A56" w:rsidR="002A63E1" w:rsidRDefault="002A63E1">
      <w:pPr>
        <w:jc w:val="left"/>
        <w:rPr>
          <w:rFonts w:ascii="Arial" w:hAnsi="Arial" w:cs="Arial"/>
        </w:rPr>
      </w:pPr>
      <w:r>
        <w:rPr>
          <w:rFonts w:ascii="Arial" w:hAnsi="Arial" w:cs="Arial"/>
        </w:rPr>
        <w:br w:type="page"/>
      </w:r>
    </w:p>
    <w:p w14:paraId="6136073A" w14:textId="2DD10B80" w:rsidR="00736A9B" w:rsidRPr="00C87891" w:rsidRDefault="00736A9B" w:rsidP="00AA7D71">
      <w:pPr>
        <w:pStyle w:val="Heading2"/>
      </w:pPr>
      <w:bookmarkStart w:id="90" w:name="_Toc90297820"/>
      <w:r w:rsidRPr="00C87891">
        <w:t>Standar</w:t>
      </w:r>
      <w:r w:rsidR="00AA7D71" w:rsidRPr="00C87891">
        <w:t>d</w:t>
      </w:r>
      <w:r w:rsidRPr="00C87891">
        <w:t xml:space="preserve">s - </w:t>
      </w:r>
      <w:r w:rsidR="00723C31" w:rsidRPr="00C87891">
        <w:t>Settlement process</w:t>
      </w:r>
      <w:bookmarkEnd w:id="90"/>
    </w:p>
    <w:p w14:paraId="72C5DE50" w14:textId="02A6D052" w:rsidR="002A63E1" w:rsidRDefault="002A63E1" w:rsidP="00632FF6">
      <w:pPr>
        <w:pStyle w:val="Heading3"/>
      </w:pPr>
      <w:bookmarkStart w:id="91" w:name="_Toc90297821"/>
      <w:r>
        <w:t>Overview</w:t>
      </w:r>
      <w:bookmarkEnd w:id="91"/>
    </w:p>
    <w:p w14:paraId="3E60AE55" w14:textId="4DD787A1" w:rsidR="002A63E1" w:rsidRDefault="00AA7D71" w:rsidP="002A63E1">
      <w:r w:rsidRPr="00C87891">
        <w:t xml:space="preserve">The daily </w:t>
      </w:r>
      <w:r w:rsidR="00E249D9" w:rsidRPr="00C87891">
        <w:t>Settlement Process</w:t>
      </w:r>
      <w:r w:rsidRPr="00C87891">
        <w:t xml:space="preserve"> starts after the finalisation of the daily </w:t>
      </w:r>
      <w:r w:rsidR="00E249D9" w:rsidRPr="00C87891">
        <w:t>Accounting Process</w:t>
      </w:r>
      <w:r w:rsidRPr="00C87891">
        <w:t xml:space="preserve"> </w:t>
      </w:r>
      <w:r w:rsidR="002A63E1">
        <w:t>for all TSOs as well as the reception of DAMP from all TSOs.</w:t>
      </w:r>
      <w:r w:rsidR="007A009F" w:rsidRPr="00E005A0">
        <w:t xml:space="preserve"> </w:t>
      </w:r>
    </w:p>
    <w:p w14:paraId="1B1FBFB2" w14:textId="1FD80A7E" w:rsidR="002A63E1" w:rsidRDefault="002A63E1" w:rsidP="002A63E1">
      <w:r>
        <w:t xml:space="preserve">In the framework of the Settlement Process, the </w:t>
      </w:r>
      <w:r w:rsidR="002E2691">
        <w:t>Coordination</w:t>
      </w:r>
      <w:r w:rsidR="008D666C">
        <w:t xml:space="preserve"> Centre</w:t>
      </w:r>
      <w:r>
        <w:t>s determine:</w:t>
      </w:r>
    </w:p>
    <w:p w14:paraId="47879A84" w14:textId="77777777" w:rsidR="002A63E1" w:rsidRDefault="002A63E1" w:rsidP="00632FF6">
      <w:pPr>
        <w:pStyle w:val="ListParagraph"/>
        <w:numPr>
          <w:ilvl w:val="0"/>
          <w:numId w:val="71"/>
        </w:numPr>
      </w:pPr>
      <w:r>
        <w:t>Settlement Prices for FCP Energy, RP Energy and UE for each TSO-TSO Settlement Period</w:t>
      </w:r>
    </w:p>
    <w:p w14:paraId="1839BF78" w14:textId="6A65BABD" w:rsidR="002A63E1" w:rsidRDefault="002A63E1" w:rsidP="00632FF6">
      <w:pPr>
        <w:pStyle w:val="ListParagraph"/>
        <w:numPr>
          <w:ilvl w:val="0"/>
          <w:numId w:val="71"/>
        </w:numPr>
      </w:pPr>
      <w:r>
        <w:t>Monetary Values for FCP Energy, RP Energy and UE for each TSO-TSO Settlement Period, equivalent to the multiplication of volumes and prices.</w:t>
      </w:r>
    </w:p>
    <w:p w14:paraId="59058A96" w14:textId="6845DF7E" w:rsidR="00044A15" w:rsidRDefault="00044A15" w:rsidP="00044A15">
      <w:r>
        <w:t>The inputs needed for these calculations shall be:</w:t>
      </w:r>
    </w:p>
    <w:p w14:paraId="5B9BD204" w14:textId="7DDF09A6" w:rsidR="00044A15" w:rsidRDefault="00044A15" w:rsidP="00632FF6">
      <w:pPr>
        <w:pStyle w:val="ListParagraph"/>
        <w:numPr>
          <w:ilvl w:val="0"/>
          <w:numId w:val="71"/>
        </w:numPr>
      </w:pPr>
      <w:r>
        <w:t>Results of the Accounting Process: v</w:t>
      </w:r>
      <w:r w:rsidRPr="007F47C3">
        <w:t xml:space="preserve">olumes of </w:t>
      </w:r>
      <w:r>
        <w:t>FCP Energy, RP Energy and Unintended Exchange for each LFC Area or Block</w:t>
      </w:r>
    </w:p>
    <w:p w14:paraId="0C40D19F" w14:textId="1A4B3CAC" w:rsidR="00044A15" w:rsidRDefault="009811C0" w:rsidP="00632FF6">
      <w:pPr>
        <w:pStyle w:val="ListParagraph"/>
        <w:numPr>
          <w:ilvl w:val="0"/>
          <w:numId w:val="71"/>
        </w:numPr>
      </w:pPr>
      <w:r>
        <w:t>Day-Ahead Market Prices (DAMPs)</w:t>
      </w:r>
      <w:r w:rsidR="00044A15">
        <w:t xml:space="preserve"> per LFC Block</w:t>
      </w:r>
    </w:p>
    <w:p w14:paraId="225FEB4F" w14:textId="53D1D82C" w:rsidR="008D0660" w:rsidRPr="008D0660" w:rsidRDefault="00044A15" w:rsidP="00632FF6">
      <w:pPr>
        <w:pStyle w:val="Heading3"/>
      </w:pPr>
      <w:bookmarkStart w:id="92" w:name="_Toc90297822"/>
      <w:r>
        <w:t>Workflow of settlement process</w:t>
      </w:r>
      <w:bookmarkEnd w:id="92"/>
    </w:p>
    <w:p w14:paraId="0F6C8AF3" w14:textId="13DB31FE" w:rsidR="00044A15" w:rsidRDefault="00044A15" w:rsidP="00632FF6">
      <w:pPr>
        <w:pStyle w:val="Heading4"/>
      </w:pPr>
      <w:bookmarkStart w:id="93" w:name="_Ref75847453"/>
      <w:r>
        <w:t>Inputs</w:t>
      </w:r>
      <w:bookmarkEnd w:id="93"/>
    </w:p>
    <w:p w14:paraId="4953F828" w14:textId="3E1740EA" w:rsidR="00044A15" w:rsidRDefault="00044A15" w:rsidP="00632FF6">
      <w:pPr>
        <w:spacing w:after="160" w:line="259" w:lineRule="auto"/>
        <w:jc w:val="left"/>
      </w:pPr>
      <w:r w:rsidRPr="0EFB0128">
        <w:t xml:space="preserve">All LFC operators send their </w:t>
      </w:r>
      <w:r w:rsidRPr="009E0E53">
        <w:rPr>
          <w:b/>
          <w:bCs/>
        </w:rPr>
        <w:t>DAMP</w:t>
      </w:r>
      <w:r>
        <w:t xml:space="preserve"> (</w:t>
      </w:r>
      <w:r w:rsidR="009811C0">
        <w:t>Day-Ahead Market Prices (DAMPs)</w:t>
      </w:r>
      <w:r>
        <w:t>)</w:t>
      </w:r>
      <w:r w:rsidRPr="0EFB0128">
        <w:t xml:space="preserve"> per LFC </w:t>
      </w:r>
      <w:r w:rsidR="00A87A5A">
        <w:t xml:space="preserve">area or </w:t>
      </w:r>
      <w:r w:rsidRPr="0EFB0128">
        <w:t xml:space="preserve">block to their </w:t>
      </w:r>
      <w:r w:rsidR="002E2691">
        <w:t>Coordination</w:t>
      </w:r>
      <w:r w:rsidR="008D666C">
        <w:t xml:space="preserve"> Centre</w:t>
      </w:r>
      <w:r>
        <w:t>s</w:t>
      </w:r>
      <w:r w:rsidR="00246E74">
        <w:t xml:space="preserve"> which are responsible for t</w:t>
      </w:r>
      <w:r>
        <w:t>he d</w:t>
      </w:r>
      <w:r w:rsidRPr="007F47C3">
        <w:t>etermination of DAMP for individual LFC blocks</w:t>
      </w:r>
      <w:r w:rsidR="00246E74">
        <w:t xml:space="preserve"> according to the following rules</w:t>
      </w:r>
      <w:r w:rsidRPr="007F47C3">
        <w:t>:</w:t>
      </w:r>
    </w:p>
    <w:p w14:paraId="3563E009" w14:textId="77777777" w:rsidR="00044A15" w:rsidRPr="007F47C3" w:rsidRDefault="00044A15" w:rsidP="00044A15">
      <w:pPr>
        <w:spacing w:after="160" w:line="259" w:lineRule="auto"/>
        <w:jc w:val="left"/>
      </w:pPr>
    </w:p>
    <w:tbl>
      <w:tblPr>
        <w:tblStyle w:val="TableGrid"/>
        <w:tblW w:w="9342" w:type="dxa"/>
        <w:tblLook w:val="04A0" w:firstRow="1" w:lastRow="0" w:firstColumn="1" w:lastColumn="0" w:noHBand="0" w:noVBand="1"/>
      </w:tblPr>
      <w:tblGrid>
        <w:gridCol w:w="2547"/>
        <w:gridCol w:w="6795"/>
      </w:tblGrid>
      <w:tr w:rsidR="00044A15" w:rsidRPr="007F47C3" w14:paraId="383BD941" w14:textId="77777777" w:rsidTr="00F90511">
        <w:trPr>
          <w:trHeight w:val="266"/>
        </w:trPr>
        <w:tc>
          <w:tcPr>
            <w:tcW w:w="2547" w:type="dxa"/>
          </w:tcPr>
          <w:p w14:paraId="53969A60" w14:textId="77777777" w:rsidR="00044A15" w:rsidRPr="00F90511" w:rsidRDefault="00044A15">
            <w:pPr>
              <w:pStyle w:val="ListParagraph"/>
              <w:tabs>
                <w:tab w:val="center" w:pos="1977"/>
              </w:tabs>
              <w:ind w:left="0"/>
              <w:jc w:val="center"/>
              <w:rPr>
                <w:b/>
              </w:rPr>
            </w:pPr>
            <w:r w:rsidRPr="009E0E53">
              <w:rPr>
                <w:b/>
                <w:bCs/>
              </w:rPr>
              <w:t>LFC block</w:t>
            </w:r>
          </w:p>
        </w:tc>
        <w:tc>
          <w:tcPr>
            <w:tcW w:w="6795" w:type="dxa"/>
          </w:tcPr>
          <w:p w14:paraId="53AD3E4C" w14:textId="77777777" w:rsidR="00044A15" w:rsidRPr="00263072" w:rsidRDefault="00044A15">
            <w:pPr>
              <w:pStyle w:val="ListParagraph"/>
              <w:ind w:left="0"/>
              <w:jc w:val="center"/>
            </w:pPr>
            <w:r w:rsidRPr="009E0E53">
              <w:rPr>
                <w:b/>
                <w:bCs/>
              </w:rPr>
              <w:t>DAMP determination method</w:t>
            </w:r>
          </w:p>
        </w:tc>
      </w:tr>
      <w:tr w:rsidR="00044A15" w:rsidRPr="002568CF" w14:paraId="5B920FDA" w14:textId="77777777" w:rsidTr="00F90511">
        <w:trPr>
          <w:trHeight w:val="532"/>
        </w:trPr>
        <w:tc>
          <w:tcPr>
            <w:tcW w:w="2547" w:type="dxa"/>
          </w:tcPr>
          <w:p w14:paraId="6B0A5ED0" w14:textId="151488D6" w:rsidR="00044A15" w:rsidRPr="00791576" w:rsidRDefault="00044A15" w:rsidP="008D0660">
            <w:pPr>
              <w:pStyle w:val="ListParagraph"/>
              <w:ind w:left="0"/>
            </w:pPr>
            <w:r>
              <w:t>AT</w:t>
            </w:r>
            <w:r w:rsidRPr="00791576">
              <w:t>, BE, BG, CH, CZ, ES, FR, GR, HU, NL, PT, RO, SK</w:t>
            </w:r>
          </w:p>
        </w:tc>
        <w:tc>
          <w:tcPr>
            <w:tcW w:w="6795" w:type="dxa"/>
          </w:tcPr>
          <w:p w14:paraId="07E4475B" w14:textId="77777777" w:rsidR="00044A15" w:rsidRPr="007F47C3" w:rsidRDefault="00044A15" w:rsidP="008D0660">
            <w:pPr>
              <w:pStyle w:val="ListParagraph"/>
              <w:ind w:left="0"/>
            </w:pPr>
            <w:r>
              <w:t>The c</w:t>
            </w:r>
            <w:r w:rsidRPr="007F47C3">
              <w:t>orresponding bidding zone DAMP</w:t>
            </w:r>
            <w:r>
              <w:t xml:space="preserve"> is used.</w:t>
            </w:r>
          </w:p>
        </w:tc>
      </w:tr>
      <w:tr w:rsidR="00044A15" w:rsidRPr="007F47C3" w14:paraId="5F794376" w14:textId="77777777" w:rsidTr="00F90511">
        <w:trPr>
          <w:trHeight w:val="956"/>
        </w:trPr>
        <w:tc>
          <w:tcPr>
            <w:tcW w:w="2547" w:type="dxa"/>
          </w:tcPr>
          <w:p w14:paraId="0D76F4F7" w14:textId="77777777" w:rsidR="00044A15" w:rsidRPr="00791576" w:rsidRDefault="00044A15" w:rsidP="008D0660">
            <w:pPr>
              <w:pStyle w:val="ListParagraph"/>
              <w:ind w:left="0"/>
            </w:pPr>
            <w:r>
              <w:t>DE-LU-DKW</w:t>
            </w:r>
          </w:p>
        </w:tc>
        <w:tc>
          <w:tcPr>
            <w:tcW w:w="6795" w:type="dxa"/>
            <w:vAlign w:val="bottom"/>
          </w:tcPr>
          <w:p w14:paraId="27A0683F" w14:textId="77777777" w:rsidR="00044A15" w:rsidRPr="00DC0207" w:rsidRDefault="00044A15" w:rsidP="008D0660">
            <w:pPr>
              <w:pStyle w:val="textregular"/>
              <w:jc w:val="center"/>
              <w:rPr>
                <w:sz w:val="20"/>
              </w:rPr>
            </w:pPr>
            <m:oMathPara>
              <m:oMathParaPr>
                <m:jc m:val="center"/>
              </m:oMathParaPr>
              <m:oMath>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DE-DKW</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DE</m:t>
                        </m:r>
                      </m:sub>
                    </m:sSub>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DE</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DK</m:t>
                        </m:r>
                      </m:sub>
                    </m:sSub>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DKW</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DE</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DKW</m:t>
                        </m:r>
                      </m:sub>
                    </m:sSub>
                  </m:den>
                </m:f>
              </m:oMath>
            </m:oMathPara>
          </w:p>
          <w:p w14:paraId="4FCBFB6C" w14:textId="77777777" w:rsidR="00044A15" w:rsidRPr="007F47C3" w:rsidRDefault="00044A15" w:rsidP="008D0660">
            <w:pPr>
              <w:pStyle w:val="ListParagraph"/>
              <w:ind w:left="0"/>
            </w:pPr>
            <w:r>
              <w:t>Under the assumption that DK-West is an LFC area by the time of FSkar introduction. Otherwise, DK-West is not considered in the FSkar settlement.</w:t>
            </w:r>
          </w:p>
        </w:tc>
      </w:tr>
      <w:tr w:rsidR="00044A15" w:rsidRPr="002568CF" w14:paraId="7852CACA" w14:textId="77777777" w:rsidTr="00F90511">
        <w:trPr>
          <w:trHeight w:val="266"/>
        </w:trPr>
        <w:tc>
          <w:tcPr>
            <w:tcW w:w="2547" w:type="dxa"/>
          </w:tcPr>
          <w:p w14:paraId="4A1DEEEB" w14:textId="77777777" w:rsidR="00044A15" w:rsidRPr="00791576" w:rsidRDefault="00044A15" w:rsidP="008D0660">
            <w:r w:rsidRPr="00791576">
              <w:t>SMM</w:t>
            </w:r>
          </w:p>
        </w:tc>
        <w:tc>
          <w:tcPr>
            <w:tcW w:w="6795" w:type="dxa"/>
          </w:tcPr>
          <w:p w14:paraId="79637A2B" w14:textId="77777777" w:rsidR="00044A15" w:rsidRPr="007F47C3" w:rsidRDefault="00044A15" w:rsidP="008D0660">
            <w:pPr>
              <w:pStyle w:val="ListParagraph"/>
              <w:ind w:left="0"/>
            </w:pPr>
            <w:r>
              <w:t>Only the DAMP from bidding zone RS (Serbia - EMS) is considered.</w:t>
            </w:r>
          </w:p>
        </w:tc>
      </w:tr>
      <w:tr w:rsidR="00044A15" w:rsidRPr="002568CF" w14:paraId="2B44BA2B" w14:textId="77777777" w:rsidTr="00F90511">
        <w:trPr>
          <w:trHeight w:val="266"/>
        </w:trPr>
        <w:tc>
          <w:tcPr>
            <w:tcW w:w="2547" w:type="dxa"/>
          </w:tcPr>
          <w:p w14:paraId="1B3A9B4D" w14:textId="77777777" w:rsidR="00044A15" w:rsidRPr="00791576" w:rsidRDefault="00044A15" w:rsidP="008D0660">
            <w:r>
              <w:t>Polish LFC Block (</w:t>
            </w:r>
            <w:r w:rsidRPr="00791576">
              <w:t>PL</w:t>
            </w:r>
            <w:r>
              <w:t>+UA (Burshtyn TPP Island))</w:t>
            </w:r>
          </w:p>
        </w:tc>
        <w:tc>
          <w:tcPr>
            <w:tcW w:w="6795" w:type="dxa"/>
          </w:tcPr>
          <w:p w14:paraId="32648C73" w14:textId="77777777" w:rsidR="00044A15" w:rsidRPr="007F47C3" w:rsidRDefault="00044A15" w:rsidP="008D0660">
            <w:pPr>
              <w:pStyle w:val="textregular"/>
              <w:jc w:val="left"/>
              <w:rPr>
                <w:rFonts w:ascii="Cambria Math" w:hAnsi="Cambria Math"/>
                <w:i/>
                <w:sz w:val="20"/>
              </w:rPr>
            </w:pPr>
            <m:oMathPara>
              <m:oMath>
                <m:r>
                  <m:rPr>
                    <m:sty m:val="p"/>
                  </m:rPr>
                  <w:rPr>
                    <w:rFonts w:ascii="Cambria Math" w:hAnsi="Cambria Math"/>
                    <w:sz w:val="20"/>
                  </w:rPr>
                  <w:br/>
                </m:r>
              </m:oMath>
              <m:oMath>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PL-UABEI</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PL</m:t>
                        </m:r>
                      </m:sub>
                    </m:sSub>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PL</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UABEI</m:t>
                        </m:r>
                      </m:sub>
                    </m:sSub>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UABEI</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PL</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UABEI</m:t>
                        </m:r>
                      </m:sub>
                    </m:sSub>
                  </m:den>
                </m:f>
              </m:oMath>
            </m:oMathPara>
          </w:p>
          <w:p w14:paraId="566CE973" w14:textId="77777777" w:rsidR="00044A15" w:rsidRPr="006825FC" w:rsidRDefault="00044A15" w:rsidP="008D0660">
            <w:pPr>
              <w:pStyle w:val="ListParagraph"/>
              <w:ind w:left="0"/>
              <w:rPr>
                <w:rFonts w:ascii="Calibri" w:eastAsia="Calibri" w:hAnsi="Calibri"/>
                <w:sz w:val="20"/>
                <w:lang w:val="en-US"/>
              </w:rPr>
            </w:pPr>
          </w:p>
        </w:tc>
      </w:tr>
      <w:tr w:rsidR="00044A15" w:rsidRPr="007F47C3" w14:paraId="65812F79" w14:textId="77777777" w:rsidTr="00F90511">
        <w:trPr>
          <w:trHeight w:val="266"/>
        </w:trPr>
        <w:tc>
          <w:tcPr>
            <w:tcW w:w="2547" w:type="dxa"/>
          </w:tcPr>
          <w:p w14:paraId="06A6D1DA" w14:textId="77777777" w:rsidR="00044A15" w:rsidRPr="007F47C3" w:rsidRDefault="00044A15" w:rsidP="008D0660">
            <w:r w:rsidRPr="007F47C3">
              <w:t>SHB</w:t>
            </w:r>
          </w:p>
        </w:tc>
        <w:tc>
          <w:tcPr>
            <w:tcW w:w="6795" w:type="dxa"/>
          </w:tcPr>
          <w:p w14:paraId="48CD3D96" w14:textId="77777777" w:rsidR="00044A15" w:rsidRPr="006A1235" w:rsidRDefault="00044A15" w:rsidP="008D0660">
            <w:pPr>
              <w:pStyle w:val="textregular"/>
              <w:jc w:val="left"/>
              <w:rPr>
                <w:rFonts w:ascii="Cambria Math" w:hAnsi="Cambria Math"/>
                <w:i/>
                <w:sz w:val="20"/>
              </w:rPr>
            </w:pPr>
            <m:oMathPara>
              <m:oMathParaPr>
                <m:jc m:val="center"/>
              </m:oMathParaPr>
              <m:oMath>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SHB</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SI</m:t>
                        </m:r>
                      </m:sub>
                    </m:sSub>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SI</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HR</m:t>
                        </m:r>
                      </m:sub>
                    </m:sSub>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HR</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SI</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HR</m:t>
                        </m:r>
                      </m:sub>
                    </m:sSub>
                  </m:den>
                </m:f>
              </m:oMath>
            </m:oMathPara>
          </w:p>
          <w:p w14:paraId="04C06F79" w14:textId="77777777" w:rsidR="00044A15" w:rsidRPr="007F47C3" w:rsidRDefault="00044A15" w:rsidP="008D0660">
            <w:pPr>
              <w:pStyle w:val="ListParagraph"/>
              <w:ind w:left="0"/>
            </w:pPr>
          </w:p>
        </w:tc>
      </w:tr>
      <w:tr w:rsidR="00044A15" w:rsidRPr="002568CF" w14:paraId="76CC30D3" w14:textId="77777777" w:rsidTr="00F90511">
        <w:trPr>
          <w:trHeight w:val="266"/>
        </w:trPr>
        <w:tc>
          <w:tcPr>
            <w:tcW w:w="2547" w:type="dxa"/>
          </w:tcPr>
          <w:p w14:paraId="28072FD7" w14:textId="77777777" w:rsidR="00044A15" w:rsidRPr="007F47C3" w:rsidRDefault="00044A15" w:rsidP="008D0660">
            <w:r w:rsidRPr="007F47C3">
              <w:t>AL</w:t>
            </w:r>
          </w:p>
        </w:tc>
        <w:tc>
          <w:tcPr>
            <w:tcW w:w="6795" w:type="dxa"/>
          </w:tcPr>
          <w:p w14:paraId="36C320C0" w14:textId="2DAB7E0E" w:rsidR="00044A15" w:rsidRPr="007F47C3" w:rsidRDefault="00044A15" w:rsidP="008D0660">
            <w:pPr>
              <w:pStyle w:val="ListParagraph"/>
              <w:ind w:left="0"/>
            </w:pPr>
            <w:r>
              <w:t xml:space="preserve">Imbalance settlement price of the LFC Block is used instead of a </w:t>
            </w:r>
            <w:r w:rsidR="009811C0">
              <w:t>Day-Ahead Market Price (DAMP)</w:t>
            </w:r>
            <w:r>
              <w:t xml:space="preserve">. </w:t>
            </w:r>
          </w:p>
        </w:tc>
      </w:tr>
      <w:tr w:rsidR="00044A15" w:rsidRPr="002568CF" w14:paraId="2D96997A" w14:textId="77777777" w:rsidTr="00F90511">
        <w:trPr>
          <w:trHeight w:val="266"/>
        </w:trPr>
        <w:tc>
          <w:tcPr>
            <w:tcW w:w="2547" w:type="dxa"/>
          </w:tcPr>
          <w:p w14:paraId="127A0F02" w14:textId="77777777" w:rsidR="00044A15" w:rsidRPr="007F47C3" w:rsidRDefault="00044A15" w:rsidP="008D0660">
            <w:r w:rsidRPr="007F47C3">
              <w:t>IT</w:t>
            </w:r>
          </w:p>
        </w:tc>
        <w:tc>
          <w:tcPr>
            <w:tcW w:w="6795" w:type="dxa"/>
          </w:tcPr>
          <w:p w14:paraId="6F9E790B" w14:textId="77777777" w:rsidR="00044A15" w:rsidRPr="007F47C3" w:rsidRDefault="00044A15" w:rsidP="008D0660">
            <w:pPr>
              <w:pStyle w:val="ListParagraph"/>
              <w:ind w:left="0"/>
            </w:pPr>
            <w:r>
              <w:t>The DAMP of the BZ bordering with the rest of the SA is used. This means IT-North</w:t>
            </w:r>
          </w:p>
        </w:tc>
      </w:tr>
    </w:tbl>
    <w:p w14:paraId="0531B0F9" w14:textId="77777777" w:rsidR="00511227" w:rsidRPr="002568CF" w:rsidRDefault="00511227" w:rsidP="00511227">
      <w:pPr>
        <w:rPr>
          <w:rStyle w:val="Strong"/>
          <w:b w:val="0"/>
          <w:bCs w:val="0"/>
          <w:lang w:val="en-US"/>
        </w:rPr>
      </w:pPr>
    </w:p>
    <w:p w14:paraId="7A1D0E6F" w14:textId="71BDEAD3" w:rsidR="00810D05" w:rsidRDefault="00044A15" w:rsidP="00632FF6">
      <w:pPr>
        <w:pStyle w:val="Heading4"/>
      </w:pPr>
      <w:r>
        <w:t>Outputs</w:t>
      </w:r>
    </w:p>
    <w:p w14:paraId="5D215B04" w14:textId="22FB562A" w:rsidR="00044A15" w:rsidRPr="00632FF6" w:rsidRDefault="00044A15" w:rsidP="00955A4E">
      <w:pPr>
        <w:rPr>
          <w:rStyle w:val="Strong"/>
        </w:rPr>
      </w:pPr>
      <w:r>
        <w:rPr>
          <w:rStyle w:val="Strong"/>
        </w:rPr>
        <w:t>Settlement prices</w:t>
      </w:r>
    </w:p>
    <w:p w14:paraId="47BFC171" w14:textId="1D22333E" w:rsidR="00511227" w:rsidRPr="00955A4E" w:rsidRDefault="00511227" w:rsidP="00955A4E">
      <w:pPr>
        <w:rPr>
          <w:lang w:val="en-US"/>
        </w:rPr>
      </w:pPr>
      <w:r w:rsidRPr="00955A4E">
        <w:rPr>
          <w:lang w:val="en-US"/>
        </w:rPr>
        <w:t>The calculation of settlement prices for FCP</w:t>
      </w:r>
      <w:r w:rsidR="00044A15">
        <w:rPr>
          <w:lang w:val="en-US"/>
        </w:rPr>
        <w:t xml:space="preserve"> Energy</w:t>
      </w:r>
      <w:r w:rsidRPr="00955A4E">
        <w:rPr>
          <w:lang w:val="en-US"/>
        </w:rPr>
        <w:t xml:space="preserve"> and UE </w:t>
      </w:r>
      <w:r w:rsidR="00044A15">
        <w:rPr>
          <w:lang w:val="en-US"/>
        </w:rPr>
        <w:t>Energy</w:t>
      </w:r>
      <w:r w:rsidRPr="00955A4E">
        <w:rPr>
          <w:lang w:val="en-US"/>
        </w:rPr>
        <w:t xml:space="preserve"> is carried out by the </w:t>
      </w:r>
      <w:r w:rsidR="002E2691">
        <w:rPr>
          <w:lang w:val="en-US"/>
        </w:rPr>
        <w:t>Coordination</w:t>
      </w:r>
      <w:r w:rsidR="008D666C">
        <w:rPr>
          <w:lang w:val="en-US"/>
        </w:rPr>
        <w:t xml:space="preserve"> Centre</w:t>
      </w:r>
      <w:r w:rsidR="000755B5">
        <w:rPr>
          <w:lang w:val="en-US"/>
        </w:rPr>
        <w:t>s</w:t>
      </w:r>
      <w:r w:rsidRPr="00955A4E">
        <w:rPr>
          <w:lang w:val="en-US"/>
        </w:rPr>
        <w:t xml:space="preserve">. </w:t>
      </w:r>
    </w:p>
    <w:p w14:paraId="2D91DE5E" w14:textId="77777777" w:rsidR="00511227" w:rsidRDefault="00511227" w:rsidP="00511227">
      <w:pPr>
        <w:pStyle w:val="ListParagraph"/>
        <w:ind w:left="0"/>
      </w:pPr>
      <w:r>
        <w:t>The price for RP energy is 0 €/MWh.</w:t>
      </w:r>
    </w:p>
    <w:p w14:paraId="500C922A" w14:textId="77777777" w:rsidR="00511227" w:rsidRDefault="00511227" w:rsidP="00511227">
      <w:pPr>
        <w:pStyle w:val="ListParagraph"/>
        <w:ind w:left="0"/>
      </w:pPr>
    </w:p>
    <w:p w14:paraId="0D50432E" w14:textId="6AC3113D" w:rsidR="00511227" w:rsidRDefault="00511227" w:rsidP="00511227">
      <w:pPr>
        <w:pStyle w:val="ListParagraph"/>
        <w:ind w:left="0"/>
      </w:pPr>
      <w:r>
        <w:t xml:space="preserve">The price for FCP </w:t>
      </w:r>
      <w:r w:rsidR="00044A15">
        <w:t>E</w:t>
      </w:r>
      <w:r>
        <w:t>nergy and UE</w:t>
      </w:r>
      <w:r w:rsidR="00044A15">
        <w:t xml:space="preserve"> Energy</w:t>
      </w:r>
      <w:r>
        <w:t xml:space="preserve"> are the same and calculated as follows:</w:t>
      </w:r>
    </w:p>
    <w:p w14:paraId="5B2E0118" w14:textId="71D7218F" w:rsidR="00511227" w:rsidRPr="00447DC8" w:rsidRDefault="00511227" w:rsidP="006A1235">
      <w:pPr>
        <w:pStyle w:val="ListParagraph"/>
        <w:numPr>
          <w:ilvl w:val="0"/>
          <w:numId w:val="14"/>
        </w:numPr>
        <w:spacing w:after="160" w:line="259" w:lineRule="auto"/>
      </w:pPr>
      <w:r w:rsidRPr="007F47C3">
        <w:t>Frequency – independent compon</w:t>
      </w:r>
      <w:r>
        <w:t xml:space="preserve">ent is calculated as </w:t>
      </w:r>
      <w:r w:rsidR="00044A15">
        <w:t xml:space="preserve">a weighted average of the DAMP across CE, with weighting performed according to the absolute value of the volumes of FCP Energy and UE Energy, as </w:t>
      </w:r>
      <w:r>
        <w:t xml:space="preserve">follows, where m is </w:t>
      </w:r>
      <w:r w:rsidR="00044A15">
        <w:t>an</w:t>
      </w:r>
      <w:r>
        <w:t xml:space="preserve"> index running over all LFC blocks</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Price</m:t>
              </m:r>
            </m:e>
            <m:sub>
              <m:r>
                <w:rPr>
                  <w:rFonts w:ascii="Cambria Math" w:hAnsi="Cambria Math"/>
                </w:rPr>
                <m:t>ref</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m</m:t>
                  </m:r>
                </m:sub>
                <m:sup/>
                <m:e>
                  <m:r>
                    <w:rPr>
                      <w:rFonts w:ascii="Cambria Math" w:hAnsi="Cambria Math"/>
                    </w:rPr>
                    <m:t>DAM</m:t>
                  </m:r>
                  <m:sSub>
                    <m:sSubPr>
                      <m:ctrlPr>
                        <w:rPr>
                          <w:rFonts w:ascii="Cambria Math" w:hAnsi="Cambria Math"/>
                          <w:i/>
                        </w:rPr>
                      </m:ctrlPr>
                    </m:sSubPr>
                    <m:e>
                      <m:r>
                        <w:rPr>
                          <w:rFonts w:ascii="Cambria Math" w:hAnsi="Cambria Math"/>
                        </w:rPr>
                        <m:t>P</m:t>
                      </m:r>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ue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FCP</m:t>
                                  </m:r>
                                </m:sub>
                              </m:sSub>
                            </m:e>
                          </m:d>
                        </m:e>
                      </m:d>
                    </m:e>
                    <m:sub>
                      <m:r>
                        <w:rPr>
                          <w:rFonts w:ascii="Cambria Math" w:hAnsi="Cambria Math"/>
                        </w:rPr>
                        <m:t>m</m:t>
                      </m:r>
                    </m:sub>
                  </m:sSub>
                  <m:r>
                    <w:rPr>
                      <w:rFonts w:ascii="Cambria Math" w:hAnsi="Cambria Math"/>
                    </w:rPr>
                    <m:t>(t)</m:t>
                  </m:r>
                </m:e>
              </m:nary>
            </m:num>
            <m:den>
              <m:nary>
                <m:naryPr>
                  <m:chr m:val="∑"/>
                  <m:limLoc m:val="subSup"/>
                  <m:supHide m:val="1"/>
                  <m:ctrlPr>
                    <w:rPr>
                      <w:rFonts w:ascii="Cambria Math" w:hAnsi="Cambria Math"/>
                      <w:i/>
                    </w:rPr>
                  </m:ctrlPr>
                </m:naryPr>
                <m:sub>
                  <m:r>
                    <w:rPr>
                      <w:rFonts w:ascii="Cambria Math" w:hAnsi="Cambria Math"/>
                    </w:rPr>
                    <m:t>m</m:t>
                  </m:r>
                </m:sub>
                <m:sup/>
                <m:e>
                  <m:sSub>
                    <m:sSubPr>
                      <m:ctrlPr>
                        <w:rPr>
                          <w:rFonts w:ascii="Cambria Math" w:hAnsi="Cambria Math"/>
                          <w:i/>
                        </w:rPr>
                      </m:ctrlPr>
                    </m:sSubPr>
                    <m:e>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ue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FCP</m:t>
                                  </m:r>
                                </m:sub>
                              </m:sSub>
                            </m:e>
                          </m:d>
                        </m:e>
                      </m:d>
                    </m:e>
                    <m:sub>
                      <m:r>
                        <w:rPr>
                          <w:rFonts w:ascii="Cambria Math" w:hAnsi="Cambria Math"/>
                        </w:rPr>
                        <m:t>m</m:t>
                      </m:r>
                    </m:sub>
                  </m:sSub>
                  <m:r>
                    <w:rPr>
                      <w:rFonts w:ascii="Cambria Math" w:hAnsi="Cambria Math"/>
                    </w:rPr>
                    <m:t>(t)</m:t>
                  </m:r>
                </m:e>
              </m:nary>
            </m:den>
          </m:f>
        </m:oMath>
      </m:oMathPara>
    </w:p>
    <w:p w14:paraId="0EECD734" w14:textId="57B6210E" w:rsidR="00511227" w:rsidRDefault="00511227" w:rsidP="00511227">
      <w:pPr>
        <w:pStyle w:val="ListParagraph"/>
        <w:ind w:left="0"/>
      </w:pPr>
    </w:p>
    <w:p w14:paraId="2F08A56E" w14:textId="77777777" w:rsidR="00511227" w:rsidRPr="007F47C3" w:rsidRDefault="00511227" w:rsidP="00511227">
      <w:pPr>
        <w:pStyle w:val="ListParagraph"/>
        <w:numPr>
          <w:ilvl w:val="0"/>
          <w:numId w:val="14"/>
        </w:numPr>
        <w:spacing w:after="160" w:line="259" w:lineRule="auto"/>
        <w:jc w:val="left"/>
      </w:pPr>
      <w:r w:rsidRPr="007F47C3">
        <w:t>Frequency – dependent component calculated as follows:</w:t>
      </w:r>
    </w:p>
    <w:p w14:paraId="79BF47FF" w14:textId="77777777" w:rsidR="00511227" w:rsidRDefault="00511227" w:rsidP="00B21E31">
      <m:oMathPara>
        <m:oMath>
          <m:r>
            <w:rPr>
              <w:rFonts w:ascii="Cambria Math" w:hAnsi="Cambria Math"/>
              <w:sz w:val="20"/>
            </w:rPr>
            <m:t>Pric</m:t>
          </m:r>
          <m:sSub>
            <m:sSubPr>
              <m:ctrlPr>
                <w:rPr>
                  <w:rFonts w:ascii="Cambria Math" w:hAnsi="Cambria Math"/>
                  <w:i/>
                  <w:sz w:val="20"/>
                </w:rPr>
              </m:ctrlPr>
            </m:sSubPr>
            <m:e>
              <m:r>
                <w:rPr>
                  <w:rFonts w:ascii="Cambria Math" w:hAnsi="Cambria Math"/>
                  <w:sz w:val="20"/>
                </w:rPr>
                <m:t>e</m:t>
              </m:r>
            </m:e>
            <m:sub>
              <m:r>
                <w:rPr>
                  <w:rFonts w:ascii="Cambria Math" w:hAnsi="Cambria Math"/>
                  <w:sz w:val="20"/>
                </w:rPr>
                <m:t>UE,FCP</m:t>
              </m:r>
            </m:sub>
          </m:sSub>
          <m:d>
            <m:dPr>
              <m:ctrlPr>
                <w:rPr>
                  <w:rFonts w:ascii="Cambria Math" w:hAnsi="Cambria Math"/>
                  <w:i/>
                  <w:sz w:val="20"/>
                </w:rPr>
              </m:ctrlPr>
            </m:dPr>
            <m:e>
              <m:r>
                <w:rPr>
                  <w:rFonts w:ascii="Cambria Math" w:hAnsi="Cambria Math"/>
                  <w:sz w:val="20"/>
                </w:rPr>
                <m:t>t</m:t>
              </m:r>
            </m:e>
          </m:d>
          <m:r>
            <w:rPr>
              <w:rFonts w:ascii="Cambria Math" w:hAnsi="Cambria Math"/>
              <w:sz w:val="20"/>
            </w:rPr>
            <m:t>=</m:t>
          </m:r>
          <m:d>
            <m:dPr>
              <m:begChr m:val="{"/>
              <m:endChr m:val=""/>
              <m:ctrlPr>
                <w:rPr>
                  <w:rFonts w:ascii="Cambria Math" w:hAnsi="Cambria Math"/>
                  <w:i/>
                  <w:sz w:val="20"/>
                </w:rPr>
              </m:ctrlPr>
            </m:dPr>
            <m:e>
              <m:m>
                <m:mPr>
                  <m:cGpRule m:val="2"/>
                  <m:mcs>
                    <m:mc>
                      <m:mcPr>
                        <m:count m:val="2"/>
                        <m:mcJc m:val="center"/>
                      </m:mcPr>
                    </m:mc>
                  </m:mcs>
                  <m:ctrlPr>
                    <w:rPr>
                      <w:rFonts w:ascii="Cambria Math" w:hAnsi="Cambria Math"/>
                      <w:i/>
                      <w:sz w:val="20"/>
                    </w:rPr>
                  </m:ctrlPr>
                </m:mPr>
                <m:mr>
                  <m:e>
                    <m:r>
                      <w:rPr>
                        <w:rFonts w:ascii="Cambria Math" w:hAnsi="Cambria Math"/>
                        <w:sz w:val="20"/>
                      </w:rPr>
                      <m:t>Pric</m:t>
                    </m:r>
                    <m:sSub>
                      <m:sSubPr>
                        <m:ctrlPr>
                          <w:rPr>
                            <w:rFonts w:ascii="Cambria Math" w:hAnsi="Cambria Math"/>
                            <w:i/>
                            <w:sz w:val="20"/>
                          </w:rPr>
                        </m:ctrlPr>
                      </m:sSubPr>
                      <m:e>
                        <m:r>
                          <w:rPr>
                            <w:rFonts w:ascii="Cambria Math" w:hAnsi="Cambria Math"/>
                            <w:sz w:val="20"/>
                          </w:rPr>
                          <m:t>e</m:t>
                        </m:r>
                      </m:e>
                      <m:sub>
                        <m:r>
                          <w:rPr>
                            <w:rFonts w:ascii="Cambria Math" w:hAnsi="Cambria Math"/>
                            <w:sz w:val="20"/>
                          </w:rPr>
                          <m:t>ref</m:t>
                        </m:r>
                      </m:sub>
                    </m:sSub>
                    <m:d>
                      <m:dPr>
                        <m:ctrlPr>
                          <w:rPr>
                            <w:rFonts w:ascii="Cambria Math" w:hAnsi="Cambria Math"/>
                            <w:i/>
                            <w:sz w:val="20"/>
                          </w:rPr>
                        </m:ctrlPr>
                      </m:dPr>
                      <m:e>
                        <m:r>
                          <w:rPr>
                            <w:rFonts w:ascii="Cambria Math" w:hAnsi="Cambria Math"/>
                            <w:sz w:val="20"/>
                          </w:rPr>
                          <m:t>t</m:t>
                        </m:r>
                      </m:e>
                    </m:d>
                    <m:r>
                      <w:rPr>
                        <w:rFonts w:ascii="Cambria Math" w:hAnsi="Cambria Math"/>
                        <w:sz w:val="20"/>
                      </w:rPr>
                      <m:t>-2 €/mHz *(-100 mHz+20 mHz)</m:t>
                    </m:r>
                  </m:e>
                  <m:e>
                    <m:r>
                      <w:rPr>
                        <w:rFonts w:ascii="Cambria Math" w:hAnsi="Cambria Math"/>
                        <w:sz w:val="20"/>
                      </w:rPr>
                      <m:t>∆f</m:t>
                    </m:r>
                    <m:d>
                      <m:dPr>
                        <m:ctrlPr>
                          <w:rPr>
                            <w:rFonts w:ascii="Cambria Math" w:hAnsi="Cambria Math"/>
                            <w:i/>
                            <w:sz w:val="20"/>
                          </w:rPr>
                        </m:ctrlPr>
                      </m:dPr>
                      <m:e>
                        <m:r>
                          <w:rPr>
                            <w:rFonts w:ascii="Cambria Math" w:hAnsi="Cambria Math"/>
                            <w:sz w:val="20"/>
                          </w:rPr>
                          <m:t>t</m:t>
                        </m:r>
                      </m:e>
                    </m:d>
                    <m:r>
                      <w:rPr>
                        <w:rFonts w:ascii="Cambria Math" w:hAnsi="Cambria Math"/>
                        <w:sz w:val="20"/>
                      </w:rPr>
                      <m:t>&lt;-100 mHz</m:t>
                    </m:r>
                  </m:e>
                </m:mr>
                <m:mr>
                  <m:e>
                    <m:r>
                      <w:rPr>
                        <w:rFonts w:ascii="Cambria Math" w:hAnsi="Cambria Math"/>
                        <w:sz w:val="20"/>
                      </w:rPr>
                      <m:t>Pric</m:t>
                    </m:r>
                    <m:sSub>
                      <m:sSubPr>
                        <m:ctrlPr>
                          <w:rPr>
                            <w:rFonts w:ascii="Cambria Math" w:hAnsi="Cambria Math"/>
                            <w:i/>
                            <w:sz w:val="20"/>
                          </w:rPr>
                        </m:ctrlPr>
                      </m:sSubPr>
                      <m:e>
                        <m:r>
                          <w:rPr>
                            <w:rFonts w:ascii="Cambria Math" w:hAnsi="Cambria Math"/>
                            <w:sz w:val="20"/>
                          </w:rPr>
                          <m:t>e</m:t>
                        </m:r>
                      </m:e>
                      <m:sub>
                        <m:r>
                          <w:rPr>
                            <w:rFonts w:ascii="Cambria Math" w:hAnsi="Cambria Math"/>
                            <w:sz w:val="20"/>
                          </w:rPr>
                          <m:t>ref</m:t>
                        </m:r>
                      </m:sub>
                    </m:sSub>
                    <m:d>
                      <m:dPr>
                        <m:ctrlPr>
                          <w:rPr>
                            <w:rFonts w:ascii="Cambria Math" w:hAnsi="Cambria Math"/>
                            <w:i/>
                            <w:sz w:val="20"/>
                          </w:rPr>
                        </m:ctrlPr>
                      </m:dPr>
                      <m:e>
                        <m:r>
                          <w:rPr>
                            <w:rFonts w:ascii="Cambria Math" w:hAnsi="Cambria Math"/>
                            <w:sz w:val="20"/>
                          </w:rPr>
                          <m:t>t</m:t>
                        </m:r>
                      </m:e>
                    </m:d>
                    <m:r>
                      <w:rPr>
                        <w:rFonts w:ascii="Cambria Math" w:hAnsi="Cambria Math"/>
                        <w:sz w:val="20"/>
                      </w:rPr>
                      <m:t>-2 €/mHz*(∆f</m:t>
                    </m:r>
                    <m:d>
                      <m:dPr>
                        <m:ctrlPr>
                          <w:rPr>
                            <w:rFonts w:ascii="Cambria Math" w:hAnsi="Cambria Math"/>
                            <w:i/>
                            <w:sz w:val="20"/>
                          </w:rPr>
                        </m:ctrlPr>
                      </m:dPr>
                      <m:e>
                        <m:r>
                          <w:rPr>
                            <w:rFonts w:ascii="Cambria Math" w:hAnsi="Cambria Math"/>
                            <w:sz w:val="20"/>
                          </w:rPr>
                          <m:t>t</m:t>
                        </m:r>
                      </m:e>
                    </m:d>
                    <m:r>
                      <w:rPr>
                        <w:rFonts w:ascii="Cambria Math" w:hAnsi="Cambria Math"/>
                        <w:sz w:val="20"/>
                      </w:rPr>
                      <m:t>+20 mHz)</m:t>
                    </m:r>
                    <m:ctrlPr>
                      <w:rPr>
                        <w:rFonts w:ascii="Cambria Math" w:eastAsia="Cambria Math" w:hAnsi="Cambria Math" w:cs="Cambria Math"/>
                        <w:i/>
                        <w:sz w:val="20"/>
                      </w:rPr>
                    </m:ctrlPr>
                  </m:e>
                  <m:e>
                    <m:r>
                      <w:rPr>
                        <w:rFonts w:ascii="Cambria Math" w:eastAsia="Cambria Math" w:hAnsi="Cambria Math" w:cs="Cambria Math"/>
                        <w:sz w:val="20"/>
                      </w:rPr>
                      <m:t>-100 mHz≤∆f</m:t>
                    </m:r>
                    <m:d>
                      <m:dPr>
                        <m:ctrlPr>
                          <w:rPr>
                            <w:rFonts w:ascii="Cambria Math" w:eastAsia="Cambria Math" w:hAnsi="Cambria Math" w:cs="Cambria Math"/>
                            <w:i/>
                            <w:sz w:val="20"/>
                          </w:rPr>
                        </m:ctrlPr>
                      </m:dPr>
                      <m:e>
                        <m:r>
                          <w:rPr>
                            <w:rFonts w:ascii="Cambria Math" w:eastAsia="Cambria Math" w:hAnsi="Cambria Math" w:cs="Cambria Math"/>
                            <w:sz w:val="20"/>
                          </w:rPr>
                          <m:t>t</m:t>
                        </m:r>
                      </m:e>
                    </m:d>
                    <m:r>
                      <w:rPr>
                        <w:rFonts w:ascii="Cambria Math" w:eastAsia="Cambria Math" w:hAnsi="Cambria Math" w:cs="Cambria Math"/>
                        <w:sz w:val="20"/>
                      </w:rPr>
                      <m:t>&lt;-20 mHz</m:t>
                    </m:r>
                    <m:ctrlPr>
                      <w:rPr>
                        <w:rFonts w:ascii="Cambria Math" w:eastAsia="Cambria Math" w:hAnsi="Cambria Math" w:cs="Cambria Math"/>
                        <w:i/>
                        <w:sz w:val="20"/>
                      </w:rPr>
                    </m:ctrlPr>
                  </m:e>
                </m:mr>
                <m:mr>
                  <m:e>
                    <m:r>
                      <w:rPr>
                        <w:rFonts w:ascii="Cambria Math" w:eastAsia="Cambria Math" w:hAnsi="Cambria Math" w:cs="Cambria Math"/>
                        <w:sz w:val="20"/>
                      </w:rPr>
                      <m:t>Pric</m:t>
                    </m:r>
                    <m:sSub>
                      <m:sSubPr>
                        <m:ctrlPr>
                          <w:rPr>
                            <w:rFonts w:ascii="Cambria Math" w:eastAsia="Cambria Math" w:hAnsi="Cambria Math" w:cs="Cambria Math"/>
                            <w:i/>
                            <w:sz w:val="20"/>
                          </w:rPr>
                        </m:ctrlPr>
                      </m:sSubPr>
                      <m:e>
                        <m:r>
                          <w:rPr>
                            <w:rFonts w:ascii="Cambria Math" w:eastAsia="Cambria Math" w:hAnsi="Cambria Math" w:cs="Cambria Math"/>
                            <w:sz w:val="20"/>
                          </w:rPr>
                          <m:t>e</m:t>
                        </m:r>
                      </m:e>
                      <m:sub>
                        <m:r>
                          <w:rPr>
                            <w:rFonts w:ascii="Cambria Math" w:eastAsia="Cambria Math" w:hAnsi="Cambria Math" w:cs="Cambria Math"/>
                            <w:sz w:val="20"/>
                          </w:rPr>
                          <m:t>ref</m:t>
                        </m:r>
                      </m:sub>
                    </m:sSub>
                    <m:r>
                      <w:rPr>
                        <w:rFonts w:ascii="Cambria Math" w:eastAsia="Cambria Math" w:hAnsi="Cambria Math" w:cs="Cambria Math"/>
                        <w:sz w:val="20"/>
                      </w:rPr>
                      <m:t>(t)</m:t>
                    </m:r>
                    <m:ctrlPr>
                      <w:rPr>
                        <w:rFonts w:ascii="Cambria Math" w:eastAsia="Cambria Math" w:hAnsi="Cambria Math" w:cs="Cambria Math"/>
                        <w:i/>
                        <w:sz w:val="20"/>
                      </w:rPr>
                    </m:ctrlPr>
                  </m:e>
                  <m:e>
                    <m:r>
                      <w:rPr>
                        <w:rFonts w:ascii="Cambria Math" w:eastAsia="Cambria Math" w:hAnsi="Cambria Math" w:cs="Cambria Math"/>
                        <w:sz w:val="20"/>
                      </w:rPr>
                      <m:t>-20 mHz≤∆f</m:t>
                    </m:r>
                    <m:d>
                      <m:dPr>
                        <m:ctrlPr>
                          <w:rPr>
                            <w:rFonts w:ascii="Cambria Math" w:eastAsia="Cambria Math" w:hAnsi="Cambria Math" w:cs="Cambria Math"/>
                            <w:i/>
                            <w:sz w:val="20"/>
                          </w:rPr>
                        </m:ctrlPr>
                      </m:dPr>
                      <m:e>
                        <m:r>
                          <w:rPr>
                            <w:rFonts w:ascii="Cambria Math" w:eastAsia="Cambria Math" w:hAnsi="Cambria Math" w:cs="Cambria Math"/>
                            <w:sz w:val="20"/>
                          </w:rPr>
                          <m:t>t</m:t>
                        </m:r>
                      </m:e>
                    </m:d>
                    <m:r>
                      <w:rPr>
                        <w:rFonts w:ascii="Cambria Math" w:eastAsia="Cambria Math" w:hAnsi="Cambria Math" w:cs="Cambria Math"/>
                        <w:sz w:val="20"/>
                      </w:rPr>
                      <m:t>≤20 mHz</m:t>
                    </m:r>
                    <m:ctrlPr>
                      <w:rPr>
                        <w:rFonts w:ascii="Cambria Math" w:eastAsia="Cambria Math" w:hAnsi="Cambria Math" w:cs="Cambria Math"/>
                        <w:i/>
                        <w:sz w:val="20"/>
                      </w:rPr>
                    </m:ctrlPr>
                  </m:e>
                </m:mr>
                <m:mr>
                  <m:e>
                    <m:r>
                      <w:rPr>
                        <w:rFonts w:ascii="Cambria Math" w:eastAsia="Cambria Math" w:hAnsi="Cambria Math" w:cs="Cambria Math"/>
                        <w:sz w:val="20"/>
                      </w:rPr>
                      <m:t>Pric</m:t>
                    </m:r>
                    <m:sSub>
                      <m:sSubPr>
                        <m:ctrlPr>
                          <w:rPr>
                            <w:rFonts w:ascii="Cambria Math" w:eastAsia="Cambria Math" w:hAnsi="Cambria Math" w:cs="Cambria Math"/>
                            <w:i/>
                            <w:sz w:val="20"/>
                          </w:rPr>
                        </m:ctrlPr>
                      </m:sSubPr>
                      <m:e>
                        <m:r>
                          <w:rPr>
                            <w:rFonts w:ascii="Cambria Math" w:eastAsia="Cambria Math" w:hAnsi="Cambria Math" w:cs="Cambria Math"/>
                            <w:sz w:val="20"/>
                          </w:rPr>
                          <m:t>e</m:t>
                        </m:r>
                      </m:e>
                      <m:sub>
                        <m:r>
                          <w:rPr>
                            <w:rFonts w:ascii="Cambria Math" w:eastAsia="Cambria Math" w:hAnsi="Cambria Math" w:cs="Cambria Math"/>
                            <w:sz w:val="20"/>
                          </w:rPr>
                          <m:t>ref</m:t>
                        </m:r>
                      </m:sub>
                    </m:sSub>
                    <m:d>
                      <m:dPr>
                        <m:ctrlPr>
                          <w:rPr>
                            <w:rFonts w:ascii="Cambria Math" w:eastAsia="Cambria Math" w:hAnsi="Cambria Math" w:cs="Cambria Math"/>
                            <w:i/>
                            <w:sz w:val="20"/>
                          </w:rPr>
                        </m:ctrlPr>
                      </m:dPr>
                      <m:e>
                        <m:r>
                          <w:rPr>
                            <w:rFonts w:ascii="Cambria Math" w:eastAsia="Cambria Math" w:hAnsi="Cambria Math" w:cs="Cambria Math"/>
                            <w:sz w:val="20"/>
                          </w:rPr>
                          <m:t>t</m:t>
                        </m:r>
                      </m:e>
                    </m:d>
                    <m:r>
                      <w:rPr>
                        <w:rFonts w:ascii="Cambria Math" w:eastAsia="Cambria Math" w:hAnsi="Cambria Math" w:cs="Cambria Math"/>
                        <w:sz w:val="20"/>
                      </w:rPr>
                      <m:t>-</m:t>
                    </m:r>
                    <m:r>
                      <w:rPr>
                        <w:rFonts w:ascii="Cambria Math" w:hAnsi="Cambria Math"/>
                        <w:sz w:val="20"/>
                      </w:rPr>
                      <m:t>2 €/mHz*(∆f</m:t>
                    </m:r>
                    <m:d>
                      <m:dPr>
                        <m:ctrlPr>
                          <w:rPr>
                            <w:rFonts w:ascii="Cambria Math" w:hAnsi="Cambria Math"/>
                            <w:i/>
                            <w:sz w:val="20"/>
                          </w:rPr>
                        </m:ctrlPr>
                      </m:dPr>
                      <m:e>
                        <m:r>
                          <w:rPr>
                            <w:rFonts w:ascii="Cambria Math" w:hAnsi="Cambria Math"/>
                            <w:sz w:val="20"/>
                          </w:rPr>
                          <m:t>t</m:t>
                        </m:r>
                      </m:e>
                    </m:d>
                    <m:r>
                      <w:rPr>
                        <w:rFonts w:ascii="Cambria Math" w:hAnsi="Cambria Math"/>
                        <w:sz w:val="20"/>
                      </w:rPr>
                      <m:t>-20 mHz)</m:t>
                    </m:r>
                  </m:e>
                  <m:e>
                    <m:r>
                      <w:rPr>
                        <w:rFonts w:ascii="Cambria Math" w:hAnsi="Cambria Math"/>
                        <w:sz w:val="20"/>
                      </w:rPr>
                      <m:t>20 mHz&lt;∆f</m:t>
                    </m:r>
                    <m:d>
                      <m:dPr>
                        <m:ctrlPr>
                          <w:rPr>
                            <w:rFonts w:ascii="Cambria Math" w:hAnsi="Cambria Math"/>
                            <w:i/>
                            <w:sz w:val="20"/>
                          </w:rPr>
                        </m:ctrlPr>
                      </m:dPr>
                      <m:e>
                        <m:r>
                          <w:rPr>
                            <w:rFonts w:ascii="Cambria Math" w:hAnsi="Cambria Math"/>
                            <w:sz w:val="20"/>
                          </w:rPr>
                          <m:t>t</m:t>
                        </m:r>
                      </m:e>
                    </m:d>
                    <m:r>
                      <w:rPr>
                        <w:rFonts w:ascii="Cambria Math" w:hAnsi="Cambria Math"/>
                        <w:sz w:val="20"/>
                      </w:rPr>
                      <m:t>≤100 mHz</m:t>
                    </m:r>
                  </m:e>
                </m:mr>
                <m:mr>
                  <m:e>
                    <m:r>
                      <w:rPr>
                        <w:rFonts w:ascii="Cambria Math" w:eastAsia="Cambria Math" w:hAnsi="Cambria Math" w:cs="Cambria Math"/>
                        <w:sz w:val="20"/>
                      </w:rPr>
                      <m:t>Pric</m:t>
                    </m:r>
                    <m:sSub>
                      <m:sSubPr>
                        <m:ctrlPr>
                          <w:rPr>
                            <w:rFonts w:ascii="Cambria Math" w:eastAsia="Cambria Math" w:hAnsi="Cambria Math" w:cs="Cambria Math"/>
                            <w:i/>
                            <w:sz w:val="20"/>
                          </w:rPr>
                        </m:ctrlPr>
                      </m:sSubPr>
                      <m:e>
                        <m:r>
                          <w:rPr>
                            <w:rFonts w:ascii="Cambria Math" w:eastAsia="Cambria Math" w:hAnsi="Cambria Math" w:cs="Cambria Math"/>
                            <w:sz w:val="20"/>
                          </w:rPr>
                          <m:t>e</m:t>
                        </m:r>
                      </m:e>
                      <m:sub>
                        <m:r>
                          <w:rPr>
                            <w:rFonts w:ascii="Cambria Math" w:eastAsia="Cambria Math" w:hAnsi="Cambria Math" w:cs="Cambria Math"/>
                            <w:sz w:val="20"/>
                          </w:rPr>
                          <m:t>ref</m:t>
                        </m:r>
                      </m:sub>
                    </m:sSub>
                    <m:d>
                      <m:dPr>
                        <m:ctrlPr>
                          <w:rPr>
                            <w:rFonts w:ascii="Cambria Math" w:eastAsia="Cambria Math" w:hAnsi="Cambria Math" w:cs="Cambria Math"/>
                            <w:i/>
                            <w:sz w:val="20"/>
                          </w:rPr>
                        </m:ctrlPr>
                      </m:dPr>
                      <m:e>
                        <m:r>
                          <w:rPr>
                            <w:rFonts w:ascii="Cambria Math" w:eastAsia="Cambria Math" w:hAnsi="Cambria Math" w:cs="Cambria Math"/>
                            <w:sz w:val="20"/>
                          </w:rPr>
                          <m:t>t</m:t>
                        </m:r>
                      </m:e>
                    </m:d>
                    <m:r>
                      <w:rPr>
                        <w:rFonts w:ascii="Cambria Math" w:eastAsia="Cambria Math" w:hAnsi="Cambria Math" w:cs="Cambria Math"/>
                        <w:sz w:val="20"/>
                      </w:rPr>
                      <m:t>-</m:t>
                    </m:r>
                    <m:r>
                      <w:rPr>
                        <w:rFonts w:ascii="Cambria Math" w:hAnsi="Cambria Math"/>
                        <w:sz w:val="20"/>
                      </w:rPr>
                      <m:t>2 €/mHz*(100 mHz-20 mHz)</m:t>
                    </m:r>
                  </m:e>
                  <m:e>
                    <m:r>
                      <w:rPr>
                        <w:rFonts w:ascii="Cambria Math" w:hAnsi="Cambria Math"/>
                        <w:sz w:val="20"/>
                      </w:rPr>
                      <m:t>∆f</m:t>
                    </m:r>
                    <m:d>
                      <m:dPr>
                        <m:ctrlPr>
                          <w:rPr>
                            <w:rFonts w:ascii="Cambria Math" w:hAnsi="Cambria Math"/>
                            <w:i/>
                            <w:sz w:val="20"/>
                          </w:rPr>
                        </m:ctrlPr>
                      </m:dPr>
                      <m:e>
                        <m:r>
                          <w:rPr>
                            <w:rFonts w:ascii="Cambria Math" w:hAnsi="Cambria Math"/>
                            <w:sz w:val="20"/>
                          </w:rPr>
                          <m:t>t</m:t>
                        </m:r>
                      </m:e>
                    </m:d>
                    <m:r>
                      <w:rPr>
                        <w:rFonts w:ascii="Cambria Math" w:hAnsi="Cambria Math"/>
                        <w:sz w:val="20"/>
                      </w:rPr>
                      <m:t>&gt;100 mHz</m:t>
                    </m:r>
                  </m:e>
                </m:mr>
              </m:m>
            </m:e>
          </m:d>
        </m:oMath>
      </m:oMathPara>
    </w:p>
    <w:p w14:paraId="2FBE6135" w14:textId="00CBEF91" w:rsidR="00094F96" w:rsidRPr="00AD04F9" w:rsidRDefault="00044A15" w:rsidP="00B21E31">
      <w:r>
        <w:t xml:space="preserve">The uniform price for Unintended Exchange and FCP Energy corresponds to </w:t>
      </w:r>
      <m:oMath>
        <m:r>
          <w:rPr>
            <w:rFonts w:ascii="Cambria Math" w:hAnsi="Cambria Math"/>
            <w:sz w:val="20"/>
          </w:rPr>
          <m:t>Pric</m:t>
        </m:r>
        <m:sSub>
          <m:sSubPr>
            <m:ctrlPr>
              <w:rPr>
                <w:rFonts w:ascii="Cambria Math" w:hAnsi="Cambria Math"/>
                <w:i/>
                <w:sz w:val="20"/>
              </w:rPr>
            </m:ctrlPr>
          </m:sSubPr>
          <m:e>
            <m:r>
              <w:rPr>
                <w:rFonts w:ascii="Cambria Math" w:hAnsi="Cambria Math"/>
                <w:sz w:val="20"/>
              </w:rPr>
              <m:t>e</m:t>
            </m:r>
          </m:e>
          <m:sub>
            <m:r>
              <w:rPr>
                <w:rFonts w:ascii="Cambria Math" w:hAnsi="Cambria Math"/>
                <w:sz w:val="20"/>
              </w:rPr>
              <m:t>UE,FCP</m:t>
            </m:r>
          </m:sub>
        </m:sSub>
        <m:d>
          <m:dPr>
            <m:ctrlPr>
              <w:rPr>
                <w:rFonts w:ascii="Cambria Math" w:hAnsi="Cambria Math"/>
                <w:i/>
                <w:sz w:val="20"/>
              </w:rPr>
            </m:ctrlPr>
          </m:dPr>
          <m:e>
            <m:r>
              <w:rPr>
                <w:rFonts w:ascii="Cambria Math" w:hAnsi="Cambria Math"/>
                <w:sz w:val="20"/>
              </w:rPr>
              <m:t>t</m:t>
            </m:r>
          </m:e>
        </m:d>
      </m:oMath>
    </w:p>
    <w:p w14:paraId="0A56295E" w14:textId="665132F2" w:rsidR="00C161F6" w:rsidRPr="00511227" w:rsidRDefault="00C161F6" w:rsidP="00B21E31">
      <w:r>
        <w:t xml:space="preserve">The </w:t>
      </w:r>
      <w:r w:rsidR="00F61D41">
        <w:t>frequency dependant component may be not considered on the</w:t>
      </w:r>
      <w:r>
        <w:t xml:space="preserve"> UE and FCP Energy between two LFC Areas connected only by HVDC cable</w:t>
      </w:r>
      <w:r w:rsidR="00F61D41">
        <w:t xml:space="preserve">. In such case the reference price could correspond to </w:t>
      </w:r>
      <m:oMath>
        <m:sSub>
          <m:sSubPr>
            <m:ctrlPr>
              <w:rPr>
                <w:rFonts w:ascii="Cambria Math" w:hAnsi="Cambria Math"/>
                <w:i/>
              </w:rPr>
            </m:ctrlPr>
          </m:sSubPr>
          <m:e>
            <m:r>
              <w:rPr>
                <w:rFonts w:ascii="Cambria Math" w:hAnsi="Cambria Math"/>
              </w:rPr>
              <m:t>Price</m:t>
            </m:r>
          </m:e>
          <m:sub>
            <m:r>
              <w:rPr>
                <w:rFonts w:ascii="Cambria Math" w:hAnsi="Cambria Math"/>
              </w:rPr>
              <m:t>ref</m:t>
            </m:r>
          </m:sub>
        </m:sSub>
        <m:d>
          <m:dPr>
            <m:ctrlPr>
              <w:rPr>
                <w:rFonts w:ascii="Cambria Math" w:hAnsi="Cambria Math"/>
                <w:i/>
              </w:rPr>
            </m:ctrlPr>
          </m:dPr>
          <m:e>
            <m:r>
              <w:rPr>
                <w:rFonts w:ascii="Cambria Math" w:hAnsi="Cambria Math"/>
              </w:rPr>
              <m:t>t</m:t>
            </m:r>
          </m:e>
        </m:d>
      </m:oMath>
      <w:r w:rsidR="00F61D41">
        <w:t>.</w:t>
      </w:r>
    </w:p>
    <w:p w14:paraId="42DD0248" w14:textId="23376B0C" w:rsidR="00044A15" w:rsidRPr="00632FF6" w:rsidRDefault="00044A15" w:rsidP="00632FF6">
      <w:pPr>
        <w:rPr>
          <w:rStyle w:val="Strong"/>
        </w:rPr>
      </w:pPr>
      <w:r>
        <w:rPr>
          <w:rStyle w:val="Strong"/>
        </w:rPr>
        <w:t>Monetary values</w:t>
      </w:r>
    </w:p>
    <w:p w14:paraId="540F2401" w14:textId="7105C59F" w:rsidR="00810D05" w:rsidRPr="00C87891" w:rsidRDefault="00955A4E" w:rsidP="00AA7D71">
      <w:r>
        <w:t xml:space="preserve">Based on settlement volumes and the settlement prices the </w:t>
      </w:r>
      <w:r w:rsidR="00044A15">
        <w:t>Monetary Values</w:t>
      </w:r>
      <w:r>
        <w:t xml:space="preserve"> are calculated.</w:t>
      </w:r>
    </w:p>
    <w:p w14:paraId="48FF917F" w14:textId="203589D3" w:rsidR="00736A9B" w:rsidRPr="00C87891" w:rsidRDefault="00044A15" w:rsidP="00632FF6">
      <w:pPr>
        <w:pStyle w:val="Heading4"/>
      </w:pPr>
      <w:bookmarkStart w:id="94" w:name="_Toc54000704"/>
      <w:bookmarkStart w:id="95" w:name="_Toc54000705"/>
      <w:bookmarkStart w:id="96" w:name="_Toc54000706"/>
      <w:bookmarkStart w:id="97" w:name="_Toc54000707"/>
      <w:bookmarkStart w:id="98" w:name="_Toc54000708"/>
      <w:bookmarkStart w:id="99" w:name="_Toc54000709"/>
      <w:bookmarkStart w:id="100" w:name="_Toc54000710"/>
      <w:bookmarkStart w:id="101" w:name="_Toc54000711"/>
      <w:bookmarkStart w:id="102" w:name="_Toc54000712"/>
      <w:bookmarkStart w:id="103" w:name="_Toc54000713"/>
      <w:bookmarkStart w:id="104" w:name="_Toc54000714"/>
      <w:bookmarkStart w:id="105" w:name="_Toc54000715"/>
      <w:bookmarkStart w:id="106" w:name="_Toc54000716"/>
      <w:bookmarkStart w:id="107" w:name="_Toc54000717"/>
      <w:bookmarkStart w:id="108" w:name="_Toc54000718"/>
      <w:bookmarkStart w:id="109" w:name="_Toc54000719"/>
      <w:bookmarkStart w:id="110" w:name="_Toc54000720"/>
      <w:bookmarkStart w:id="111" w:name="_Toc54000721"/>
      <w:bookmarkStart w:id="112" w:name="_Toc54000722"/>
      <w:bookmarkStart w:id="113" w:name="_Toc54000723"/>
      <w:bookmarkStart w:id="114" w:name="_Toc54000724"/>
      <w:bookmarkStart w:id="115" w:name="_Toc54000725"/>
      <w:bookmarkStart w:id="116" w:name="_Toc54000726"/>
      <w:bookmarkStart w:id="117" w:name="_Toc54000727"/>
      <w:bookmarkStart w:id="118" w:name="_Toc54000728"/>
      <w:bookmarkStart w:id="119" w:name="_Toc54000729"/>
      <w:bookmarkStart w:id="120" w:name="_Toc54000730"/>
      <w:bookmarkStart w:id="121" w:name="_Toc54000731"/>
      <w:bookmarkStart w:id="122" w:name="_Toc54000732"/>
      <w:bookmarkStart w:id="123" w:name="_Toc54000733"/>
      <w:bookmarkStart w:id="124" w:name="_Toc54000734"/>
      <w:bookmarkStart w:id="125" w:name="_Toc54000735"/>
      <w:bookmarkStart w:id="126" w:name="_Toc54000736"/>
      <w:bookmarkStart w:id="127" w:name="_Toc54000737"/>
      <w:bookmarkStart w:id="128" w:name="_Toc54000738"/>
      <w:bookmarkStart w:id="129" w:name="_Toc54000739"/>
      <w:bookmarkStart w:id="130" w:name="_Toc54000740"/>
      <w:bookmarkStart w:id="131" w:name="_Toc54000741"/>
      <w:bookmarkStart w:id="132" w:name="_Toc54000742"/>
      <w:bookmarkStart w:id="133" w:name="_Toc5400074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t>Daily Settlement Prices Report and Monthly Settlement Reports</w:t>
      </w:r>
    </w:p>
    <w:p w14:paraId="496669DE" w14:textId="11138CAD" w:rsidR="003B7335" w:rsidRPr="00C87891" w:rsidRDefault="00044A15" w:rsidP="00736A9B">
      <w:r>
        <w:t>For</w:t>
      </w:r>
      <w:r w:rsidR="00736A9B" w:rsidRPr="00C87891">
        <w:t xml:space="preserve"> the </w:t>
      </w:r>
      <w:r w:rsidR="008151B4" w:rsidRPr="00C87891">
        <w:t>Settlement Process</w:t>
      </w:r>
      <w:r w:rsidR="00736A9B" w:rsidRPr="00C87891">
        <w:t xml:space="preserve"> the </w:t>
      </w:r>
      <w:r w:rsidR="00E9348B">
        <w:t>following reports are generated:</w:t>
      </w:r>
      <w:r w:rsidR="00D25C30">
        <w:t xml:space="preserve"> Daily </w:t>
      </w:r>
      <w:r w:rsidR="00E9348B">
        <w:t>S</w:t>
      </w:r>
      <w:r w:rsidR="00D25C30">
        <w:t xml:space="preserve">ettlement </w:t>
      </w:r>
      <w:r w:rsidR="00E9348B">
        <w:t>P</w:t>
      </w:r>
      <w:r w:rsidR="009E350F">
        <w:t xml:space="preserve">rices </w:t>
      </w:r>
      <w:r w:rsidR="00D25C30">
        <w:t>reports</w:t>
      </w:r>
      <w:r w:rsidR="00E9348B">
        <w:t xml:space="preserve"> (DSPR)</w:t>
      </w:r>
      <w:r w:rsidR="00D25C30">
        <w:t xml:space="preserve">, </w:t>
      </w:r>
      <w:r w:rsidR="00ED746F">
        <w:t>M</w:t>
      </w:r>
      <w:r w:rsidR="00D25C30">
        <w:t xml:space="preserve">onthly </w:t>
      </w:r>
      <w:r w:rsidR="00E9348B">
        <w:t>S</w:t>
      </w:r>
      <w:r w:rsidR="00D25C30">
        <w:t xml:space="preserve">ettlement </w:t>
      </w:r>
      <w:r w:rsidR="00E9348B">
        <w:t>R</w:t>
      </w:r>
      <w:r w:rsidR="00D25C30">
        <w:t>eports</w:t>
      </w:r>
      <w:r w:rsidR="00E9348B">
        <w:t xml:space="preserve"> (MSR)</w:t>
      </w:r>
      <w:r w:rsidR="00D25C30">
        <w:t>.</w:t>
      </w:r>
      <w:r w:rsidR="00C073DC">
        <w:t xml:space="preserve"> </w:t>
      </w:r>
      <w:r w:rsidR="00736A9B" w:rsidRPr="00C87891">
        <w:t xml:space="preserve">The </w:t>
      </w:r>
      <w:r w:rsidR="00094F96">
        <w:t>Daily</w:t>
      </w:r>
      <w:r w:rsidR="00D25C30">
        <w:t xml:space="preserve"> </w:t>
      </w:r>
      <w:r w:rsidR="00094F96">
        <w:t>Settlement</w:t>
      </w:r>
      <w:r w:rsidR="00D25C30">
        <w:t xml:space="preserve"> </w:t>
      </w:r>
      <w:r w:rsidR="00094F96">
        <w:t>Prices</w:t>
      </w:r>
      <w:r w:rsidR="009E350F">
        <w:t xml:space="preserve"> </w:t>
      </w:r>
      <w:r w:rsidR="00094F96">
        <w:t>Report</w:t>
      </w:r>
      <w:r w:rsidR="00D25C30">
        <w:t xml:space="preserve"> are</w:t>
      </w:r>
      <w:r w:rsidR="00736A9B" w:rsidRPr="00C87891">
        <w:t xml:space="preserve"> generated daily, the </w:t>
      </w:r>
      <w:r w:rsidR="00094F96">
        <w:t>Monthly Settlement Report</w:t>
      </w:r>
      <w:r w:rsidR="00736A9B" w:rsidRPr="00C87891">
        <w:t xml:space="preserve"> is generated </w:t>
      </w:r>
      <w:r w:rsidR="00D25C30">
        <w:t>monthly</w:t>
      </w:r>
      <w:r w:rsidR="00370A25">
        <w:t>. The resolution is in both cases per</w:t>
      </w:r>
      <w:r w:rsidR="00094F96">
        <w:t xml:space="preserve"> TSO-TSO Settlement Period.</w:t>
      </w:r>
    </w:p>
    <w:p w14:paraId="78F840A3" w14:textId="360879C7" w:rsidR="00736A9B" w:rsidRDefault="00736A9B" w:rsidP="00736A9B">
      <w:r w:rsidRPr="00C87891">
        <w:t>The report</w:t>
      </w:r>
      <w:r w:rsidR="00094F96">
        <w:t>s</w:t>
      </w:r>
      <w:r w:rsidRPr="00C87891">
        <w:t xml:space="preserve"> contain the following information:</w:t>
      </w:r>
    </w:p>
    <w:p w14:paraId="57CBC470" w14:textId="25161E0B" w:rsidR="00094F96" w:rsidRDefault="00D25C30" w:rsidP="002C2863">
      <w:pPr>
        <w:pStyle w:val="AufzhlungPunkte"/>
        <w:numPr>
          <w:ilvl w:val="0"/>
          <w:numId w:val="71"/>
        </w:numPr>
        <w:spacing w:line="240" w:lineRule="auto"/>
        <w:ind w:left="714" w:hanging="357"/>
      </w:pPr>
      <w:r>
        <w:t>Volume of FCPE for each TSO (as calculated in the accounting process)</w:t>
      </w:r>
    </w:p>
    <w:p w14:paraId="6AE214D9" w14:textId="695EA4F7" w:rsidR="00094F96" w:rsidRDefault="00D25C30" w:rsidP="002C2863">
      <w:pPr>
        <w:pStyle w:val="AufzhlungPunkte"/>
        <w:numPr>
          <w:ilvl w:val="0"/>
          <w:numId w:val="71"/>
        </w:numPr>
        <w:spacing w:line="240" w:lineRule="auto"/>
        <w:ind w:left="714" w:hanging="357"/>
      </w:pPr>
      <w:r>
        <w:t>Volume of RPE for each TSO (as calculated in the accounting process)</w:t>
      </w:r>
    </w:p>
    <w:p w14:paraId="73404B62" w14:textId="5DAF4ED3" w:rsidR="00094F96" w:rsidRDefault="00D25C30" w:rsidP="002C2863">
      <w:pPr>
        <w:pStyle w:val="AufzhlungPunkte"/>
        <w:numPr>
          <w:ilvl w:val="0"/>
          <w:numId w:val="71"/>
        </w:numPr>
        <w:spacing w:line="240" w:lineRule="auto"/>
        <w:ind w:left="714" w:hanging="357"/>
      </w:pPr>
      <w:r>
        <w:t>Volume of UE for each TSO (as calculated in the accounting process)</w:t>
      </w:r>
    </w:p>
    <w:p w14:paraId="70066F06" w14:textId="4B52A218" w:rsidR="00174280" w:rsidRPr="00174280" w:rsidRDefault="009811C0" w:rsidP="002C2863">
      <w:pPr>
        <w:pStyle w:val="AufzhlungPunkte"/>
        <w:numPr>
          <w:ilvl w:val="0"/>
          <w:numId w:val="71"/>
        </w:numPr>
        <w:spacing w:line="240" w:lineRule="auto"/>
        <w:ind w:left="714" w:hanging="357"/>
        <w:rPr>
          <w:rStyle w:val="Strong"/>
          <w:b w:val="0"/>
          <w:bCs w:val="0"/>
        </w:rPr>
      </w:pPr>
      <w:r>
        <w:rPr>
          <w:rStyle w:val="Strong"/>
          <w:b w:val="0"/>
          <w:bCs w:val="0"/>
        </w:rPr>
        <w:t>Day-Ahead Market Price (DAMP)</w:t>
      </w:r>
      <w:r w:rsidR="00174280" w:rsidRPr="00174280">
        <w:rPr>
          <w:rStyle w:val="Strong"/>
          <w:b w:val="0"/>
          <w:bCs w:val="0"/>
        </w:rPr>
        <w:t xml:space="preserve"> for each LFC block, as used in the settlement process.</w:t>
      </w:r>
    </w:p>
    <w:p w14:paraId="66B8E1E7" w14:textId="1EF61BCE" w:rsidR="00174280" w:rsidRPr="00174280" w:rsidRDefault="009811C0" w:rsidP="002C2863">
      <w:pPr>
        <w:pStyle w:val="AufzhlungPunkte"/>
        <w:numPr>
          <w:ilvl w:val="0"/>
          <w:numId w:val="71"/>
        </w:numPr>
        <w:spacing w:line="240" w:lineRule="auto"/>
        <w:ind w:left="714" w:hanging="357"/>
        <w:rPr>
          <w:rStyle w:val="Strong"/>
          <w:b w:val="0"/>
          <w:bCs w:val="0"/>
        </w:rPr>
      </w:pPr>
      <w:r>
        <w:rPr>
          <w:rStyle w:val="Strong"/>
          <w:b w:val="0"/>
          <w:bCs w:val="0"/>
        </w:rPr>
        <w:t>Day-Ahead Market Price (DAMP)</w:t>
      </w:r>
      <w:r w:rsidR="00174280" w:rsidRPr="009811C0">
        <w:rPr>
          <w:rStyle w:val="Strong"/>
          <w:b w:val="0"/>
          <w:bCs w:val="0"/>
        </w:rPr>
        <w:t xml:space="preserve"> for each LFC area, for LFC blocks with multiple LFC areas.</w:t>
      </w:r>
    </w:p>
    <w:p w14:paraId="033F6CAD" w14:textId="629579E3" w:rsidR="00094F96" w:rsidRPr="002C2863" w:rsidRDefault="00D25C30" w:rsidP="002C2863">
      <w:pPr>
        <w:pStyle w:val="AufzhlungPunkte"/>
        <w:numPr>
          <w:ilvl w:val="0"/>
          <w:numId w:val="71"/>
        </w:numPr>
        <w:spacing w:line="240" w:lineRule="auto"/>
        <w:ind w:left="714" w:hanging="357"/>
      </w:pPr>
      <w:r>
        <w:t xml:space="preserve">Price for FCPE for the SA CE (as calculated in the </w:t>
      </w:r>
      <w:r w:rsidRPr="002C2863">
        <w:t xml:space="preserve">settlement </w:t>
      </w:r>
      <w:r>
        <w:t>process)</w:t>
      </w:r>
    </w:p>
    <w:p w14:paraId="00AFF20B" w14:textId="49F3A2CE" w:rsidR="00094F96" w:rsidRDefault="00D25C30" w:rsidP="00632FF6">
      <w:pPr>
        <w:pStyle w:val="AufzhlungPunkte"/>
        <w:numPr>
          <w:ilvl w:val="0"/>
          <w:numId w:val="71"/>
        </w:numPr>
        <w:spacing w:line="240" w:lineRule="auto"/>
        <w:ind w:left="714" w:hanging="357"/>
      </w:pPr>
      <w:r>
        <w:t>Price for RPE for</w:t>
      </w:r>
      <w:r w:rsidRPr="002C2863">
        <w:t xml:space="preserve"> the SA CE</w:t>
      </w:r>
      <w:r>
        <w:t>: 0 €/MWh</w:t>
      </w:r>
    </w:p>
    <w:p w14:paraId="3E1F80F3" w14:textId="5A34E100" w:rsidR="00D25C30" w:rsidRDefault="00D25C30" w:rsidP="002C70EF">
      <w:pPr>
        <w:pStyle w:val="AufzhlungPunkte"/>
        <w:numPr>
          <w:ilvl w:val="0"/>
          <w:numId w:val="71"/>
        </w:numPr>
        <w:spacing w:line="240" w:lineRule="auto"/>
        <w:ind w:left="714" w:hanging="357"/>
      </w:pPr>
      <w:r>
        <w:t>Price for UE for the SA CE (as calculated in the settlement process)</w:t>
      </w:r>
    </w:p>
    <w:p w14:paraId="1BCFDF0B" w14:textId="0507F11B" w:rsidR="00BB7BEC" w:rsidRDefault="00BB7BEC" w:rsidP="002C70EF">
      <w:pPr>
        <w:pStyle w:val="AufzhlungPunkte"/>
        <w:numPr>
          <w:ilvl w:val="0"/>
          <w:numId w:val="71"/>
        </w:numPr>
        <w:spacing w:line="240" w:lineRule="auto"/>
        <w:ind w:left="714" w:hanging="357"/>
      </w:pPr>
      <w:r>
        <w:t>Monetary values for FCPE for each TSO (as calculated in the settlement process)</w:t>
      </w:r>
      <w:r w:rsidRPr="00BB7BEC">
        <w:t xml:space="preserve"> </w:t>
      </w:r>
    </w:p>
    <w:p w14:paraId="12293990" w14:textId="2A92AF8D" w:rsidR="00BB7BEC" w:rsidRPr="00B51B29" w:rsidRDefault="00BB7BEC" w:rsidP="002C70EF">
      <w:pPr>
        <w:pStyle w:val="AufzhlungPunkte"/>
        <w:numPr>
          <w:ilvl w:val="0"/>
          <w:numId w:val="71"/>
        </w:numPr>
        <w:spacing w:line="240" w:lineRule="auto"/>
        <w:ind w:left="714" w:hanging="357"/>
      </w:pPr>
      <w:r>
        <w:t xml:space="preserve">Monetary values for RPE for each TSO (as calculated in the </w:t>
      </w:r>
      <w:r w:rsidRPr="00B51B29">
        <w:t xml:space="preserve">settlement </w:t>
      </w:r>
      <w:r>
        <w:t>process)</w:t>
      </w:r>
    </w:p>
    <w:p w14:paraId="529203AE" w14:textId="30B34D91" w:rsidR="00BB7BEC" w:rsidRDefault="00BB7BEC" w:rsidP="00BB7BEC">
      <w:pPr>
        <w:pStyle w:val="AufzhlungPunkte"/>
        <w:numPr>
          <w:ilvl w:val="0"/>
          <w:numId w:val="71"/>
        </w:numPr>
        <w:spacing w:line="240" w:lineRule="auto"/>
        <w:ind w:left="714" w:hanging="357"/>
      </w:pPr>
      <w:r>
        <w:t>Monetary values for UE for each TSO (as calculated in the settlement process)</w:t>
      </w:r>
    </w:p>
    <w:p w14:paraId="40BBDABE" w14:textId="4E3C3BF1" w:rsidR="00BB7BEC" w:rsidRDefault="00BB7BEC" w:rsidP="00632FF6">
      <w:pPr>
        <w:pStyle w:val="AufzhlungPunkte"/>
        <w:numPr>
          <w:ilvl w:val="0"/>
          <w:numId w:val="0"/>
        </w:numPr>
        <w:spacing w:line="240" w:lineRule="auto"/>
      </w:pPr>
    </w:p>
    <w:p w14:paraId="443EC49C" w14:textId="078FB08D" w:rsidR="00370A25" w:rsidRDefault="00094F96" w:rsidP="006A1235">
      <w:pPr>
        <w:rPr>
          <w:rFonts w:ascii="Arial" w:hAnsi="Arial" w:cs="Arial"/>
        </w:rPr>
      </w:pPr>
      <w:r w:rsidRPr="009E0E53">
        <w:t xml:space="preserve">As a result of the </w:t>
      </w:r>
      <w:r w:rsidR="00370A25" w:rsidRPr="009E0E53">
        <w:t>daily</w:t>
      </w:r>
      <w:r w:rsidR="00370A25" w:rsidRPr="002C2863">
        <w:t xml:space="preserve"> </w:t>
      </w:r>
      <w:r w:rsidRPr="002C2863">
        <w:t>Settlement Process</w:t>
      </w:r>
      <w:r w:rsidRPr="009E0E53">
        <w:t xml:space="preserve">, </w:t>
      </w:r>
      <w:r w:rsidR="002E2691">
        <w:t>Coordination</w:t>
      </w:r>
      <w:r w:rsidR="008D666C" w:rsidRPr="009E0E53">
        <w:t xml:space="preserve"> Centre</w:t>
      </w:r>
      <w:r w:rsidRPr="009E0E53">
        <w:t xml:space="preserve">s </w:t>
      </w:r>
      <w:r w:rsidR="001F70C1" w:rsidRPr="009E0E53">
        <w:t xml:space="preserve">send the DSPR </w:t>
      </w:r>
      <w:r w:rsidR="00C073DC" w:rsidRPr="009E0E53">
        <w:t>to the TSOs</w:t>
      </w:r>
      <w:r w:rsidR="00684F78" w:rsidRPr="009E0E53">
        <w:t xml:space="preserve">. </w:t>
      </w:r>
      <w:r w:rsidR="00370A25">
        <w:rPr>
          <w:rFonts w:ascii="Arial" w:hAnsi="Arial" w:cs="Arial"/>
        </w:rPr>
        <w:t xml:space="preserve">The TSOs have 4 Working Days to review the DSPR for each day. In case of needed corrections, TSOs shall inform the </w:t>
      </w:r>
      <w:r w:rsidR="002E2691">
        <w:rPr>
          <w:rFonts w:ascii="Arial" w:hAnsi="Arial" w:cs="Arial"/>
        </w:rPr>
        <w:t>Coordination</w:t>
      </w:r>
      <w:r w:rsidR="00185ECC">
        <w:rPr>
          <w:rFonts w:ascii="Arial" w:hAnsi="Arial" w:cs="Arial"/>
        </w:rPr>
        <w:t xml:space="preserve"> Centre</w:t>
      </w:r>
      <w:r w:rsidR="00370A25">
        <w:rPr>
          <w:rFonts w:ascii="Arial" w:hAnsi="Arial" w:cs="Arial"/>
        </w:rPr>
        <w:t xml:space="preserve"> immediately and align bilaterally </w:t>
      </w:r>
      <w:r w:rsidR="006A1235">
        <w:rPr>
          <w:rFonts w:ascii="Arial" w:hAnsi="Arial" w:cs="Arial"/>
        </w:rPr>
        <w:t xml:space="preserve">within the deadline </w:t>
      </w:r>
      <w:r w:rsidR="00370A25">
        <w:rPr>
          <w:rFonts w:ascii="Arial" w:hAnsi="Arial" w:cs="Arial"/>
        </w:rPr>
        <w:t xml:space="preserve">to correct the data. After corrections, </w:t>
      </w:r>
      <w:r w:rsidR="002E2691">
        <w:rPr>
          <w:rFonts w:ascii="Arial" w:hAnsi="Arial" w:cs="Arial"/>
        </w:rPr>
        <w:t>Coordination</w:t>
      </w:r>
      <w:r w:rsidR="00185ECC">
        <w:rPr>
          <w:rFonts w:ascii="Arial" w:hAnsi="Arial" w:cs="Arial"/>
        </w:rPr>
        <w:t xml:space="preserve"> Centre</w:t>
      </w:r>
      <w:r w:rsidR="00370A25">
        <w:rPr>
          <w:rFonts w:ascii="Arial" w:hAnsi="Arial" w:cs="Arial"/>
        </w:rPr>
        <w:t>s shall send a corrected DSPR to the TSOs. This concludes the daily Settlement Process.</w:t>
      </w:r>
    </w:p>
    <w:p w14:paraId="104246CD" w14:textId="2E74D230" w:rsidR="00684F78" w:rsidRPr="00632FF6" w:rsidRDefault="00370A25" w:rsidP="002C2863">
      <w:pPr>
        <w:rPr>
          <w:rFonts w:ascii="Arial" w:hAnsi="Arial" w:cs="Arial"/>
        </w:rPr>
      </w:pPr>
      <w:r>
        <w:rPr>
          <w:rFonts w:ascii="Arial" w:hAnsi="Arial" w:cs="Arial"/>
        </w:rPr>
        <w:t xml:space="preserve">After the daily Settlement Process for each day of the calendar month has been concluded, </w:t>
      </w:r>
      <w:r w:rsidR="002E2691">
        <w:rPr>
          <w:rFonts w:ascii="Arial" w:hAnsi="Arial" w:cs="Arial"/>
        </w:rPr>
        <w:t>Coordination</w:t>
      </w:r>
      <w:r w:rsidR="008D666C">
        <w:rPr>
          <w:rFonts w:ascii="Arial" w:hAnsi="Arial" w:cs="Arial"/>
        </w:rPr>
        <w:t xml:space="preserve"> Centre</w:t>
      </w:r>
      <w:r>
        <w:rPr>
          <w:rFonts w:ascii="Arial" w:hAnsi="Arial" w:cs="Arial"/>
        </w:rPr>
        <w:t>s send the MS</w:t>
      </w:r>
      <w:r w:rsidR="009541A4">
        <w:rPr>
          <w:rFonts w:ascii="Arial" w:hAnsi="Arial" w:cs="Arial"/>
        </w:rPr>
        <w:t>R</w:t>
      </w:r>
      <w:r>
        <w:rPr>
          <w:rFonts w:ascii="Arial" w:hAnsi="Arial" w:cs="Arial"/>
        </w:rPr>
        <w:t xml:space="preserve"> to the TSOs.</w:t>
      </w:r>
      <w:r w:rsidRPr="00370A25">
        <w:rPr>
          <w:rFonts w:ascii="Arial" w:hAnsi="Arial" w:cs="Arial"/>
        </w:rPr>
        <w:t xml:space="preserve"> </w:t>
      </w:r>
      <w:r>
        <w:rPr>
          <w:rFonts w:ascii="Arial" w:hAnsi="Arial" w:cs="Arial"/>
        </w:rPr>
        <w:t xml:space="preserve">The TSOs </w:t>
      </w:r>
      <w:r w:rsidR="006A1235">
        <w:rPr>
          <w:rFonts w:ascii="Arial" w:hAnsi="Arial" w:cs="Arial"/>
        </w:rPr>
        <w:t xml:space="preserve">must </w:t>
      </w:r>
      <w:r>
        <w:rPr>
          <w:rFonts w:ascii="Arial" w:hAnsi="Arial" w:cs="Arial"/>
        </w:rPr>
        <w:t>review the MSR and send Confirmation Document for the MSR</w:t>
      </w:r>
      <w:r w:rsidR="006A1235">
        <w:rPr>
          <w:rFonts w:ascii="Arial" w:hAnsi="Arial" w:cs="Arial"/>
        </w:rPr>
        <w:t xml:space="preserve"> within 4 working days</w:t>
      </w:r>
      <w:r>
        <w:rPr>
          <w:rFonts w:ascii="Arial" w:hAnsi="Arial" w:cs="Arial"/>
        </w:rPr>
        <w:t xml:space="preserve">. </w:t>
      </w:r>
    </w:p>
    <w:p w14:paraId="5AC34C17" w14:textId="52B0416B" w:rsidR="00CC3C5D" w:rsidRPr="00CC3C5D" w:rsidRDefault="00CC3C5D" w:rsidP="5BCF031F">
      <w:pPr>
        <w:rPr>
          <w:bCs/>
        </w:rPr>
      </w:pPr>
      <w:r w:rsidRPr="009E0E53">
        <w:t xml:space="preserve">Once all the MSR have been validated, </w:t>
      </w:r>
      <w:r w:rsidR="002E2691">
        <w:t>Coordination</w:t>
      </w:r>
      <w:r w:rsidR="008D666C" w:rsidRPr="009E0E53">
        <w:t xml:space="preserve"> Centre</w:t>
      </w:r>
      <w:r w:rsidR="00370A25" w:rsidRPr="009E0E53">
        <w:t>s</w:t>
      </w:r>
      <w:r w:rsidRPr="009E0E53">
        <w:t xml:space="preserve"> send the monthly settlement results (validated settlement volumes, prices end values) to </w:t>
      </w:r>
      <w:r w:rsidR="00DF6584" w:rsidRPr="009E0E53">
        <w:t>invoicing entity</w:t>
      </w:r>
      <w:r w:rsidRPr="009E0E53">
        <w:t xml:space="preserve">. </w:t>
      </w:r>
      <w:r w:rsidR="006A1235" w:rsidRPr="009E0E53">
        <w:t xml:space="preserve">If confirmations are not received, invoicing is not possible. </w:t>
      </w:r>
      <w:r w:rsidR="00DF6584" w:rsidRPr="00E16283">
        <w:t>Invoicing entity</w:t>
      </w:r>
      <w:r w:rsidR="009E350F" w:rsidRPr="00E16283">
        <w:t xml:space="preserve"> </w:t>
      </w:r>
      <w:r w:rsidRPr="00E16283">
        <w:t xml:space="preserve">send invoices to all </w:t>
      </w:r>
      <w:r w:rsidR="00DF6584" w:rsidRPr="00E16283">
        <w:t>T</w:t>
      </w:r>
      <w:r w:rsidRPr="00E16283">
        <w:t>SO.</w:t>
      </w:r>
      <w:r w:rsidR="00370A25" w:rsidRPr="00E16283">
        <w:t xml:space="preserve"> This concludes the Settlement Process</w:t>
      </w:r>
    </w:p>
    <w:p w14:paraId="2F9BBA02" w14:textId="77777777" w:rsidR="00BE6316" w:rsidRDefault="00BE6316" w:rsidP="00E43A7D">
      <w:pPr>
        <w:pStyle w:val="Heading3"/>
      </w:pPr>
      <w:bookmarkStart w:id="134" w:name="_Toc90297823"/>
      <w:r>
        <w:t>Extraordinary measures</w:t>
      </w:r>
      <w:bookmarkEnd w:id="134"/>
    </w:p>
    <w:p w14:paraId="0C2D88CE" w14:textId="4D524F98" w:rsidR="0000774D" w:rsidRPr="006A1235" w:rsidRDefault="0080196B" w:rsidP="008569FE">
      <w:r>
        <w:t>E</w:t>
      </w:r>
      <w:r w:rsidR="006409ED">
        <w:t xml:space="preserve">xtraordinary measures may be proposed and implemented by the </w:t>
      </w:r>
      <w:r w:rsidR="002E2691">
        <w:t>Coordination</w:t>
      </w:r>
      <w:r w:rsidR="008D666C">
        <w:t xml:space="preserve"> Centre</w:t>
      </w:r>
      <w:r w:rsidR="006409ED">
        <w:t xml:space="preserve">s </w:t>
      </w:r>
      <w:r w:rsidR="007F3204">
        <w:t>after</w:t>
      </w:r>
      <w:r w:rsidR="006409ED">
        <w:t xml:space="preserve"> approval by RGCE Plenary, especially in cases of violations of this Policy.</w:t>
      </w:r>
      <w:r w:rsidR="006A1235">
        <w:t xml:space="preserve"> Extraordinary measures should not affect the accounting process.</w:t>
      </w:r>
      <w:r w:rsidR="00E8170D">
        <w:t xml:space="preserve"> </w:t>
      </w:r>
      <w:r w:rsidR="008569FE">
        <w:t>Extraordinary measures can also be possible i</w:t>
      </w:r>
      <w:r w:rsidR="00A87E7C">
        <w:t>n case of large frequency deviations</w:t>
      </w:r>
      <w:r w:rsidR="008569FE">
        <w:t>, when</w:t>
      </w:r>
      <w:r w:rsidR="00A87E7C">
        <w:t xml:space="preserve"> some TSOs intentionally enter into deviation to help restore the frequency</w:t>
      </w:r>
      <w:r w:rsidR="008569FE">
        <w:t>, to</w:t>
      </w:r>
      <w:r w:rsidR="00A87E7C">
        <w:t xml:space="preserve"> ensure that these TSOs are not penalized for such a behaviour</w:t>
      </w:r>
      <w:r w:rsidR="008569FE">
        <w:t>.</w:t>
      </w:r>
    </w:p>
    <w:p w14:paraId="79DFC472" w14:textId="77777777" w:rsidR="0000774D" w:rsidRPr="00BE6316" w:rsidRDefault="0000774D"/>
    <w:p w14:paraId="248B2215" w14:textId="77777777" w:rsidR="00736A9B" w:rsidRPr="00C87891" w:rsidRDefault="00736A9B" w:rsidP="00744FCC">
      <w:pPr>
        <w:rPr>
          <w:smallCaps/>
          <w:sz w:val="28"/>
          <w:szCs w:val="26"/>
        </w:rPr>
      </w:pPr>
      <w:r w:rsidRPr="00C87891">
        <w:br w:type="page"/>
      </w:r>
    </w:p>
    <w:p w14:paraId="08A7488A" w14:textId="6689BBC2" w:rsidR="00A07101" w:rsidRPr="00C87891" w:rsidRDefault="004D51F1" w:rsidP="00443483">
      <w:pPr>
        <w:pStyle w:val="Heading2"/>
      </w:pPr>
      <w:bookmarkStart w:id="135" w:name="_Toc85043892"/>
      <w:bookmarkStart w:id="136" w:name="_Toc90297824"/>
      <w:r w:rsidRPr="00C87891">
        <w:t>Guidelines</w:t>
      </w:r>
      <w:bookmarkEnd w:id="135"/>
      <w:bookmarkEnd w:id="136"/>
    </w:p>
    <w:p w14:paraId="14967F7F" w14:textId="77777777" w:rsidR="00A07101" w:rsidRPr="00C87891" w:rsidRDefault="007119A2" w:rsidP="00A07101">
      <w:pPr>
        <w:pStyle w:val="Heading3"/>
      </w:pPr>
      <w:bookmarkStart w:id="137" w:name="_Ref196725668"/>
      <w:bookmarkStart w:id="138" w:name="_Toc90297825"/>
      <w:r w:rsidRPr="00C87891">
        <w:t>Troubleshooting for the a</w:t>
      </w:r>
      <w:r w:rsidR="00A07101" w:rsidRPr="00C87891">
        <w:t>ccounting process.</w:t>
      </w:r>
      <w:bookmarkEnd w:id="137"/>
      <w:bookmarkEnd w:id="138"/>
      <w:r w:rsidR="00A07101" w:rsidRPr="00C87891">
        <w:t xml:space="preserve"> </w:t>
      </w:r>
    </w:p>
    <w:p w14:paraId="6CA5E8CD" w14:textId="2046C8C2" w:rsidR="00A07101" w:rsidRPr="00C87891" w:rsidRDefault="00A07101" w:rsidP="00A07101">
      <w:r w:rsidRPr="00C87891">
        <w:t>In case of unavailability of meter measurement data or available data but not agreed on time</w:t>
      </w:r>
      <w:r w:rsidR="00AA3EB7">
        <w:t xml:space="preserve"> </w:t>
      </w:r>
      <w:r w:rsidR="00AA3EB7" w:rsidRPr="00E005A0">
        <w:t xml:space="preserve">(the limit is </w:t>
      </w:r>
      <w:r w:rsidR="009E035E">
        <w:t xml:space="preserve">4 </w:t>
      </w:r>
      <w:r w:rsidR="00AA3EB7" w:rsidRPr="00E005A0">
        <w:t>working days after the scheduling day)</w:t>
      </w:r>
      <w:r w:rsidRPr="00E005A0">
        <w:t>,</w:t>
      </w:r>
      <w:r w:rsidRPr="00C87891">
        <w:t xml:space="preserve"> the following procedure is recommended in the following sequence:</w:t>
      </w:r>
    </w:p>
    <w:p w14:paraId="33E0ED1F" w14:textId="77777777" w:rsidR="00A07101" w:rsidRPr="00C87891" w:rsidRDefault="00A07101" w:rsidP="00A07101">
      <w:pPr>
        <w:pStyle w:val="AufzhlungPunkte"/>
      </w:pPr>
      <w:r w:rsidRPr="00C87891">
        <w:t xml:space="preserve">If available, use the check meter values from the </w:t>
      </w:r>
      <w:r w:rsidR="008151B4" w:rsidRPr="00C87891">
        <w:t>Accounting Point</w:t>
      </w:r>
      <w:r w:rsidRPr="00C87891">
        <w:t xml:space="preserve"> substation.</w:t>
      </w:r>
    </w:p>
    <w:p w14:paraId="56F5806C" w14:textId="77777777" w:rsidR="00A07101" w:rsidRPr="00C87891" w:rsidRDefault="00A07101" w:rsidP="00A07101">
      <w:pPr>
        <w:pStyle w:val="AufzhlungPunkte"/>
      </w:pPr>
      <w:r w:rsidRPr="00C87891">
        <w:t>If available, use the main meter values from the adjacent substation.</w:t>
      </w:r>
    </w:p>
    <w:p w14:paraId="234C97FC" w14:textId="77777777" w:rsidR="00A07101" w:rsidRPr="00C87891" w:rsidRDefault="00A07101" w:rsidP="00A07101">
      <w:pPr>
        <w:pStyle w:val="AufzhlungPunkte"/>
      </w:pPr>
      <w:r w:rsidRPr="00C87891">
        <w:t>If available, use the check meter values from the adjacent substation.</w:t>
      </w:r>
    </w:p>
    <w:p w14:paraId="4C6F75D7" w14:textId="77777777" w:rsidR="00A07101" w:rsidRPr="00C87891" w:rsidRDefault="00A07101" w:rsidP="00A07101">
      <w:pPr>
        <w:pStyle w:val="AufzhlungPunkte"/>
      </w:pPr>
      <w:r w:rsidRPr="00C87891">
        <w:t>If available, use the integrated measurement values from the on-line observation</w:t>
      </w:r>
    </w:p>
    <w:p w14:paraId="6B088408" w14:textId="77777777" w:rsidR="00A07101" w:rsidRPr="00C87891" w:rsidRDefault="00A07101" w:rsidP="00A07101">
      <w:pPr>
        <w:pStyle w:val="AufzhlungPunkte"/>
      </w:pPr>
      <w:r w:rsidRPr="00C87891">
        <w:t>Otherwise, the partners involved agree on the methodology to determine substitutes.</w:t>
      </w:r>
    </w:p>
    <w:p w14:paraId="40BE1952" w14:textId="77777777" w:rsidR="00A07101" w:rsidRPr="00C87891" w:rsidRDefault="00A07101" w:rsidP="00A07101">
      <w:pPr>
        <w:pStyle w:val="AufzhlungPunkte"/>
      </w:pPr>
      <w:r w:rsidRPr="00C87891">
        <w:t>In any case, more flexible procedure for troubleshooting can be agreed in a bilateral way among the affected TSOs, insuring the normal operation of the accounting process.</w:t>
      </w:r>
    </w:p>
    <w:p w14:paraId="57DE46B7" w14:textId="2C7A8DE1" w:rsidR="00A07101" w:rsidRPr="00C87891" w:rsidRDefault="00A07101" w:rsidP="00A07101">
      <w:bookmarkStart w:id="139" w:name="_Ref196725851"/>
      <w:r w:rsidRPr="00C87891">
        <w:t xml:space="preserve">In case two </w:t>
      </w:r>
      <w:r w:rsidR="00C34E1A" w:rsidRPr="00C87891">
        <w:t xml:space="preserve">SA </w:t>
      </w:r>
      <w:r w:rsidR="00E20AD6" w:rsidRPr="00C87891">
        <w:t xml:space="preserve">CE </w:t>
      </w:r>
      <w:r w:rsidRPr="00C87891">
        <w:t xml:space="preserve">bodies are sending mismatching </w:t>
      </w:r>
      <w:r w:rsidR="008151B4" w:rsidRPr="00C87891">
        <w:t>Accounting Data</w:t>
      </w:r>
      <w:r w:rsidRPr="00C87891">
        <w:t xml:space="preserve"> to </w:t>
      </w:r>
      <w:r w:rsidR="00BF4DFD" w:rsidRPr="00C87891">
        <w:t xml:space="preserve">the </w:t>
      </w:r>
      <w:r w:rsidR="002E2691">
        <w:t>Coordination</w:t>
      </w:r>
      <w:r w:rsidR="008D666C">
        <w:t xml:space="preserve"> Centre</w:t>
      </w:r>
      <w:r w:rsidR="00A42DB7" w:rsidRPr="00C87891">
        <w:t xml:space="preserve"> (and LFC </w:t>
      </w:r>
      <w:r w:rsidR="008151B4" w:rsidRPr="00C87891">
        <w:t>Block</w:t>
      </w:r>
      <w:r w:rsidR="00A42DB7" w:rsidRPr="00C87891">
        <w:t xml:space="preserve"> where applicable)</w:t>
      </w:r>
      <w:r w:rsidRPr="00C87891">
        <w:t xml:space="preserve"> as part of the daily </w:t>
      </w:r>
      <w:r w:rsidR="008151B4" w:rsidRPr="00C87891">
        <w:t>Accounting Process</w:t>
      </w:r>
      <w:r w:rsidRPr="00C87891">
        <w:t xml:space="preserve"> the </w:t>
      </w:r>
      <w:r w:rsidR="002E2691">
        <w:t>Coordination</w:t>
      </w:r>
      <w:r w:rsidR="008D666C">
        <w:t xml:space="preserve"> Centre</w:t>
      </w:r>
      <w:r w:rsidR="00A42DB7" w:rsidRPr="00C87891">
        <w:t xml:space="preserve"> (and LFC </w:t>
      </w:r>
      <w:r w:rsidR="008151B4" w:rsidRPr="00C87891">
        <w:t>Block</w:t>
      </w:r>
      <w:r w:rsidR="00A42DB7" w:rsidRPr="00C87891">
        <w:t xml:space="preserve"> where applicable)</w:t>
      </w:r>
      <w:r w:rsidR="00BF4DFD" w:rsidRPr="00C87891">
        <w:t xml:space="preserve"> </w:t>
      </w:r>
      <w:r w:rsidRPr="00C87891">
        <w:t>should immediately prepare a substitution of values in the following sequence:</w:t>
      </w:r>
      <w:bookmarkEnd w:id="139"/>
    </w:p>
    <w:p w14:paraId="054BB1DA" w14:textId="6BB2C1B0" w:rsidR="00A07101" w:rsidRPr="00C87891" w:rsidRDefault="00A07101" w:rsidP="00A07101">
      <w:pPr>
        <w:pStyle w:val="AufzhlungPunkte"/>
      </w:pPr>
      <w:r w:rsidRPr="00C87891">
        <w:t>If both TSO</w:t>
      </w:r>
      <w:r w:rsidR="00732EA6" w:rsidRPr="00C87891">
        <w:t>s</w:t>
      </w:r>
      <w:r w:rsidRPr="00C87891">
        <w:t xml:space="preserve"> are sending accounting values having “small” mismatch (</w:t>
      </w:r>
      <w:r w:rsidR="00AB4998" w:rsidRPr="00C87891">
        <w:t xml:space="preserve">mismatch as a percentage of the average value, calculated as 2[(A1-B1)/(A1+B1)], up to 10%) </w:t>
      </w:r>
      <w:r w:rsidR="00A42DB7" w:rsidRPr="00C87891">
        <w:t xml:space="preserve">to </w:t>
      </w:r>
      <w:r w:rsidR="00732EA6" w:rsidRPr="00C87891">
        <w:t xml:space="preserve">the </w:t>
      </w:r>
      <w:r w:rsidR="002E2691">
        <w:t>Coordination</w:t>
      </w:r>
      <w:r w:rsidR="008D666C">
        <w:t xml:space="preserve"> Centre</w:t>
      </w:r>
      <w:r w:rsidR="00A42DB7" w:rsidRPr="00C87891">
        <w:t xml:space="preserve"> (and LFC </w:t>
      </w:r>
      <w:r w:rsidR="008151B4" w:rsidRPr="00C87891">
        <w:t>Block</w:t>
      </w:r>
      <w:r w:rsidR="00A42DB7" w:rsidRPr="00C87891">
        <w:t xml:space="preserve"> where applicable</w:t>
      </w:r>
      <w:r w:rsidR="00BF4DFD" w:rsidRPr="00C87891">
        <w:t>), the</w:t>
      </w:r>
      <w:r w:rsidR="00732EA6" w:rsidRPr="00C87891">
        <w:t xml:space="preserve"> </w:t>
      </w:r>
      <w:r w:rsidR="002E2691">
        <w:t>Coordination</w:t>
      </w:r>
      <w:r w:rsidR="008D666C">
        <w:t xml:space="preserve"> Centre</w:t>
      </w:r>
      <w:r w:rsidR="00732EA6" w:rsidRPr="00C87891">
        <w:t xml:space="preserve"> (and LFC </w:t>
      </w:r>
      <w:r w:rsidR="008151B4" w:rsidRPr="00C87891">
        <w:t>Block</w:t>
      </w:r>
      <w:r w:rsidR="00732EA6" w:rsidRPr="00C87891">
        <w:t xml:space="preserve"> where applicable)</w:t>
      </w:r>
      <w:r w:rsidRPr="00C87891">
        <w:t xml:space="preserve"> should use the average of both values as substitute va</w:t>
      </w:r>
      <w:r w:rsidR="000E5BE2" w:rsidRPr="00C87891">
        <w:t>lue, w</w:t>
      </w:r>
      <w:r w:rsidRPr="00C87891">
        <w:t xml:space="preserve">here A1 = Accounting </w:t>
      </w:r>
      <w:r w:rsidR="008151B4" w:rsidRPr="00C87891">
        <w:t>Data</w:t>
      </w:r>
      <w:r w:rsidR="000E5BE2" w:rsidRPr="00C87891">
        <w:t xml:space="preserve"> send for line 1 by TSO A and </w:t>
      </w:r>
      <w:r w:rsidRPr="00C87891">
        <w:t xml:space="preserve">B1 = Accounting </w:t>
      </w:r>
      <w:r w:rsidR="008151B4" w:rsidRPr="00C87891">
        <w:t>Data</w:t>
      </w:r>
      <w:r w:rsidRPr="00C87891">
        <w:t xml:space="preserve"> send for line 1 by TSO B.</w:t>
      </w:r>
    </w:p>
    <w:p w14:paraId="43F2A3BB" w14:textId="5571371A" w:rsidR="00A07101" w:rsidRPr="00C87891" w:rsidRDefault="00A07101" w:rsidP="00A07101">
      <w:pPr>
        <w:pStyle w:val="AufzhlungPunkte"/>
      </w:pPr>
      <w:r w:rsidRPr="00C87891">
        <w:t>If both TSO</w:t>
      </w:r>
      <w:r w:rsidR="00732EA6" w:rsidRPr="00C87891">
        <w:t>s</w:t>
      </w:r>
      <w:r w:rsidRPr="00C87891">
        <w:t xml:space="preserve"> are sending accounting values having „large“ mismatches or do not sent accounting values at all and telemeasurements of the </w:t>
      </w:r>
      <w:r w:rsidR="000E5BE2" w:rsidRPr="00C87891">
        <w:t>tie-lines</w:t>
      </w:r>
      <w:r w:rsidRPr="00C87891">
        <w:t xml:space="preserve"> are available </w:t>
      </w:r>
      <w:r w:rsidR="00732EA6" w:rsidRPr="00C87891">
        <w:t>to</w:t>
      </w:r>
      <w:r w:rsidR="00A42DB7" w:rsidRPr="00C87891">
        <w:t xml:space="preserve"> </w:t>
      </w:r>
      <w:r w:rsidR="000E5BE2" w:rsidRPr="00C87891">
        <w:t xml:space="preserve">the </w:t>
      </w:r>
      <w:r w:rsidR="002E2691">
        <w:t>Coordination</w:t>
      </w:r>
      <w:r w:rsidR="008D666C">
        <w:t xml:space="preserve"> Centre</w:t>
      </w:r>
      <w:r w:rsidR="00A42DB7" w:rsidRPr="00C87891">
        <w:t xml:space="preserve"> (and LFC </w:t>
      </w:r>
      <w:r w:rsidR="008151B4" w:rsidRPr="00C87891">
        <w:t>Block</w:t>
      </w:r>
      <w:r w:rsidR="00A42DB7" w:rsidRPr="00C87891">
        <w:t xml:space="preserve"> where applicable)</w:t>
      </w:r>
      <w:r w:rsidRPr="00C87891">
        <w:t xml:space="preserve">, </w:t>
      </w:r>
      <w:r w:rsidR="00732EA6" w:rsidRPr="00C87891">
        <w:t>the</w:t>
      </w:r>
      <w:r w:rsidR="00A42DB7" w:rsidRPr="00C87891">
        <w:t xml:space="preserve"> </w:t>
      </w:r>
      <w:r w:rsidR="002E2691">
        <w:t>Coordination</w:t>
      </w:r>
      <w:r w:rsidR="008D666C">
        <w:t xml:space="preserve"> Centre</w:t>
      </w:r>
      <w:r w:rsidR="00A42DB7" w:rsidRPr="00C87891">
        <w:t xml:space="preserve"> (and LFC </w:t>
      </w:r>
      <w:r w:rsidR="008151B4" w:rsidRPr="00C87891">
        <w:t>Block</w:t>
      </w:r>
      <w:r w:rsidR="00A42DB7" w:rsidRPr="00C87891">
        <w:t xml:space="preserve"> where applicable)</w:t>
      </w:r>
      <w:r w:rsidRPr="00C87891">
        <w:t xml:space="preserve"> should use telemeasurements as substitute value. </w:t>
      </w:r>
    </w:p>
    <w:p w14:paraId="4E8004DD" w14:textId="1C15D6F3" w:rsidR="00A07101" w:rsidRPr="00C87891" w:rsidRDefault="00A07101" w:rsidP="00A07101">
      <w:pPr>
        <w:pStyle w:val="AufzhlungPunkte"/>
      </w:pPr>
      <w:r w:rsidRPr="00C87891">
        <w:t>If both TSO</w:t>
      </w:r>
      <w:r w:rsidR="00B612F7" w:rsidRPr="00C87891">
        <w:t>s</w:t>
      </w:r>
      <w:r w:rsidRPr="00C87891">
        <w:t xml:space="preserve"> are sending accounting values having „large“ mismatches or do not </w:t>
      </w:r>
      <w:r w:rsidR="00732EA6" w:rsidRPr="00C87891">
        <w:t xml:space="preserve">send </w:t>
      </w:r>
      <w:r w:rsidRPr="00C87891">
        <w:t xml:space="preserve">accounting values at all and telemeasurements are NOT available </w:t>
      </w:r>
      <w:r w:rsidR="00A42DB7" w:rsidRPr="00C87891">
        <w:t xml:space="preserve">to </w:t>
      </w:r>
      <w:r w:rsidR="002E2691">
        <w:t>Coordination</w:t>
      </w:r>
      <w:r w:rsidR="008D666C">
        <w:t xml:space="preserve"> Centre</w:t>
      </w:r>
      <w:r w:rsidR="00A42DB7" w:rsidRPr="00C87891">
        <w:t xml:space="preserve"> (and LFC </w:t>
      </w:r>
      <w:r w:rsidR="008151B4" w:rsidRPr="00C87891">
        <w:t>Block</w:t>
      </w:r>
      <w:r w:rsidR="00A42DB7" w:rsidRPr="00C87891">
        <w:t xml:space="preserve"> where applicable)</w:t>
      </w:r>
      <w:r w:rsidR="00732EA6" w:rsidRPr="00C87891">
        <w:t xml:space="preserve">, the </w:t>
      </w:r>
      <w:r w:rsidR="002E2691">
        <w:t>Coordination</w:t>
      </w:r>
      <w:r w:rsidR="008D666C">
        <w:t xml:space="preserve"> Centre</w:t>
      </w:r>
      <w:r w:rsidRPr="00C87891">
        <w:t xml:space="preserve"> </w:t>
      </w:r>
      <w:r w:rsidR="00B612F7" w:rsidRPr="00C87891">
        <w:t>shall communicate with the affected TSOs to determine the cause of the missing data and find a solution.</w:t>
      </w:r>
      <w:r w:rsidR="00734F69" w:rsidRPr="00C87891">
        <w:t xml:space="preserve"> In case a solution can</w:t>
      </w:r>
      <w:r w:rsidR="00744FCC" w:rsidRPr="00C87891">
        <w:t xml:space="preserve">not be found, the </w:t>
      </w:r>
      <w:r w:rsidR="002E2691">
        <w:t>Coordination</w:t>
      </w:r>
      <w:r w:rsidR="008D666C">
        <w:t xml:space="preserve"> Centre</w:t>
      </w:r>
      <w:r w:rsidR="00744FCC" w:rsidRPr="00C87891">
        <w:t xml:space="preserve"> shall set the accounting value to </w:t>
      </w:r>
      <w:r w:rsidR="00BF4DFD" w:rsidRPr="00C87891">
        <w:t>zero</w:t>
      </w:r>
      <w:r w:rsidR="00744FCC" w:rsidRPr="00C87891">
        <w:t>.</w:t>
      </w:r>
    </w:p>
    <w:p w14:paraId="20477A83" w14:textId="77777777" w:rsidR="007D6EF5" w:rsidRPr="00C87891" w:rsidRDefault="007D6EF5" w:rsidP="007D6EF5">
      <w:pPr>
        <w:pStyle w:val="Heading3"/>
      </w:pPr>
      <w:bookmarkStart w:id="140" w:name="_Toc90297826"/>
      <w:r w:rsidRPr="00C87891">
        <w:t>Timeframe for changing the accounting data</w:t>
      </w:r>
      <w:bookmarkEnd w:id="140"/>
      <w:r w:rsidRPr="00C87891">
        <w:t xml:space="preserve"> </w:t>
      </w:r>
    </w:p>
    <w:p w14:paraId="7133C077" w14:textId="1015D91F" w:rsidR="007D6EF5" w:rsidRPr="00E005A0" w:rsidRDefault="007D6EF5" w:rsidP="007D6EF5">
      <w:r w:rsidRPr="00C87891">
        <w:t xml:space="preserve">All </w:t>
      </w:r>
      <w:r w:rsidRPr="00E005A0">
        <w:t xml:space="preserve">substituted values and/or all already matched values can be changed until the end of the deadline of the </w:t>
      </w:r>
      <w:r w:rsidR="00AA3EB7" w:rsidRPr="00E005A0">
        <w:t xml:space="preserve">daily </w:t>
      </w:r>
      <w:r w:rsidR="008151B4" w:rsidRPr="00E005A0">
        <w:t>Accounting Process</w:t>
      </w:r>
      <w:r w:rsidRPr="00E005A0">
        <w:t xml:space="preserve"> (see </w:t>
      </w:r>
      <w:r w:rsidRPr="00E005A0">
        <w:fldChar w:fldCharType="begin"/>
      </w:r>
      <w:r w:rsidRPr="00E005A0">
        <w:instrText xml:space="preserve"> REF _Ref199583818 \r \h  \* MERGEFORMAT </w:instrText>
      </w:r>
      <w:r w:rsidRPr="00E005A0">
        <w:fldChar w:fldCharType="separate"/>
      </w:r>
      <w:r w:rsidR="009E7709">
        <w:t>C-5-2</w:t>
      </w:r>
      <w:r w:rsidRPr="00E005A0">
        <w:fldChar w:fldCharType="end"/>
      </w:r>
      <w:r w:rsidRPr="00E005A0">
        <w:t xml:space="preserve">). After the end of the </w:t>
      </w:r>
      <w:r w:rsidR="00AA3EB7" w:rsidRPr="00E005A0">
        <w:t xml:space="preserve">monthly </w:t>
      </w:r>
      <w:r w:rsidR="00476E0E">
        <w:t>Settlement</w:t>
      </w:r>
      <w:r w:rsidR="00476E0E" w:rsidRPr="00E005A0">
        <w:t xml:space="preserve"> </w:t>
      </w:r>
      <w:r w:rsidR="008151B4" w:rsidRPr="00E005A0">
        <w:t>Process</w:t>
      </w:r>
      <w:r w:rsidRPr="00E005A0">
        <w:t xml:space="preserve">, the </w:t>
      </w:r>
      <w:r w:rsidR="008151B4" w:rsidRPr="00E005A0">
        <w:t>Accounting Data</w:t>
      </w:r>
      <w:r w:rsidRPr="00E005A0">
        <w:t xml:space="preserve"> cannot be changed anymore.</w:t>
      </w:r>
    </w:p>
    <w:p w14:paraId="696B7D01" w14:textId="337EB3B1" w:rsidR="004304BE" w:rsidRPr="00E005A0" w:rsidRDefault="004D51F1" w:rsidP="004304BE">
      <w:pPr>
        <w:pStyle w:val="Heading3"/>
      </w:pPr>
      <w:bookmarkStart w:id="141" w:name="_Toc85043895"/>
      <w:bookmarkStart w:id="142" w:name="_Ref515886661"/>
      <w:bookmarkStart w:id="143" w:name="_Toc90297827"/>
      <w:r w:rsidRPr="00E005A0">
        <w:t>Timeframe for changing the verified ANES</w:t>
      </w:r>
      <w:bookmarkEnd w:id="141"/>
      <w:bookmarkEnd w:id="142"/>
      <w:bookmarkEnd w:id="143"/>
    </w:p>
    <w:p w14:paraId="5BA77F3B" w14:textId="3060751D" w:rsidR="004304BE" w:rsidRPr="00E005A0" w:rsidRDefault="004304BE" w:rsidP="007D6EF5">
      <w:r w:rsidRPr="00E005A0">
        <w:t xml:space="preserve">The verified ANES </w:t>
      </w:r>
      <w:r w:rsidR="000E4915" w:rsidRPr="00E005A0">
        <w:t xml:space="preserve">can be changed by the concerned LFC </w:t>
      </w:r>
      <w:r w:rsidR="008151B4" w:rsidRPr="00E005A0">
        <w:t>Areas</w:t>
      </w:r>
      <w:r w:rsidR="000E4915" w:rsidRPr="00E005A0">
        <w:t xml:space="preserve"> until the end of the deadline of the </w:t>
      </w:r>
      <w:r w:rsidR="00AA3EB7" w:rsidRPr="00E005A0">
        <w:t xml:space="preserve">daily </w:t>
      </w:r>
      <w:r w:rsidR="008151B4" w:rsidRPr="00E005A0">
        <w:t>Accounting Process</w:t>
      </w:r>
      <w:r w:rsidR="000E4915" w:rsidRPr="00E005A0">
        <w:t xml:space="preserve"> (see </w:t>
      </w:r>
      <w:r w:rsidR="000E4915" w:rsidRPr="00E005A0">
        <w:fldChar w:fldCharType="begin"/>
      </w:r>
      <w:r w:rsidR="000E4915" w:rsidRPr="00E005A0">
        <w:instrText xml:space="preserve"> REF _Ref199583818 \r \h  \* MERGEFORMAT </w:instrText>
      </w:r>
      <w:r w:rsidR="000E4915" w:rsidRPr="00E005A0">
        <w:fldChar w:fldCharType="separate"/>
      </w:r>
      <w:r w:rsidR="009E7709">
        <w:t>C-5-2</w:t>
      </w:r>
      <w:r w:rsidR="000E4915" w:rsidRPr="00E005A0">
        <w:fldChar w:fldCharType="end"/>
      </w:r>
      <w:r w:rsidR="000E4915" w:rsidRPr="00E005A0">
        <w:t xml:space="preserve">). In such cases, the concerned LFC </w:t>
      </w:r>
      <w:r w:rsidR="008151B4" w:rsidRPr="00E005A0">
        <w:t>Areas</w:t>
      </w:r>
      <w:r w:rsidR="000E4915" w:rsidRPr="00E005A0">
        <w:t xml:space="preserve"> </w:t>
      </w:r>
      <w:r w:rsidR="00651FBB" w:rsidRPr="00E005A0">
        <w:t>shall firstly i</w:t>
      </w:r>
      <w:r w:rsidR="000E4915" w:rsidRPr="00E005A0">
        <w:t xml:space="preserve">nform the respective </w:t>
      </w:r>
      <w:r w:rsidR="002E2691">
        <w:t>Coordination</w:t>
      </w:r>
      <w:r w:rsidR="008D666C">
        <w:t xml:space="preserve"> Centre</w:t>
      </w:r>
      <w:r w:rsidR="000755B5" w:rsidRPr="00E005A0">
        <w:t xml:space="preserve"> </w:t>
      </w:r>
      <w:r w:rsidR="000E4915" w:rsidRPr="00E005A0">
        <w:t xml:space="preserve">and then send their updated ANES to the Verification Platform. </w:t>
      </w:r>
      <w:r w:rsidR="00651FBB" w:rsidRPr="00E005A0">
        <w:t xml:space="preserve">The respective </w:t>
      </w:r>
      <w:r w:rsidR="002E2691">
        <w:t>Coordination</w:t>
      </w:r>
      <w:r w:rsidR="008D666C">
        <w:t xml:space="preserve"> Centre</w:t>
      </w:r>
      <w:r w:rsidR="000755B5" w:rsidRPr="00E005A0" w:rsidDel="000755B5">
        <w:t xml:space="preserve"> </w:t>
      </w:r>
      <w:r w:rsidR="00651FBB" w:rsidRPr="00E005A0">
        <w:t>will</w:t>
      </w:r>
      <w:r w:rsidR="000E4915" w:rsidRPr="00E005A0">
        <w:t xml:space="preserve"> then </w:t>
      </w:r>
      <w:r w:rsidR="00651FBB" w:rsidRPr="00E005A0">
        <w:t xml:space="preserve">manually export the updated and verified ANES, recalculate the </w:t>
      </w:r>
      <w:r w:rsidR="008151B4" w:rsidRPr="00E005A0">
        <w:t>Unintentional Deviations</w:t>
      </w:r>
      <w:r w:rsidR="00651FBB" w:rsidRPr="00E005A0">
        <w:t xml:space="preserve"> of the concerned LFC </w:t>
      </w:r>
      <w:r w:rsidR="008151B4" w:rsidRPr="00E005A0">
        <w:t>Blocks</w:t>
      </w:r>
      <w:r w:rsidR="00651FBB" w:rsidRPr="00E005A0">
        <w:t xml:space="preserve"> and resend the updated </w:t>
      </w:r>
      <w:r w:rsidR="0038046C" w:rsidRPr="00E005A0">
        <w:t>daily</w:t>
      </w:r>
      <w:r w:rsidR="00651FBB" w:rsidRPr="00E005A0">
        <w:t xml:space="preserve"> settlement report(s). After the end of the </w:t>
      </w:r>
      <w:r w:rsidR="00AA3EB7" w:rsidRPr="00E005A0">
        <w:t xml:space="preserve">monthly </w:t>
      </w:r>
      <w:r w:rsidR="008151B4" w:rsidRPr="00E005A0">
        <w:t>Accounting Process</w:t>
      </w:r>
      <w:r w:rsidR="00651FBB" w:rsidRPr="00E005A0">
        <w:t>, the verified ANES cannot be changed anymore.</w:t>
      </w:r>
    </w:p>
    <w:p w14:paraId="2E9BFAC7" w14:textId="1565D99F" w:rsidR="00476E0E" w:rsidRDefault="002F718B" w:rsidP="002F718B">
      <w:pPr>
        <w:pStyle w:val="Heading3"/>
      </w:pPr>
      <w:bookmarkStart w:id="144" w:name="_Toc90297828"/>
      <w:r w:rsidRPr="00E005A0">
        <w:t xml:space="preserve">Timeframe for changing </w:t>
      </w:r>
      <w:r w:rsidR="00476E0E">
        <w:t>other inputs</w:t>
      </w:r>
      <w:bookmarkEnd w:id="144"/>
    </w:p>
    <w:p w14:paraId="43C8DB8A" w14:textId="6038F89D" w:rsidR="00096295" w:rsidRPr="00E005A0" w:rsidRDefault="00476E0E" w:rsidP="00632FF6">
      <w:r>
        <w:t xml:space="preserve">K-factors, frequency deviation and </w:t>
      </w:r>
      <w:r w:rsidR="009811C0">
        <w:t>Day-Ahead Market Prices (DAMPs)</w:t>
      </w:r>
      <w:r w:rsidRPr="00E005A0">
        <w:t xml:space="preserve"> can be changed until the end of the deadline of the daily Accounting </w:t>
      </w:r>
      <w:r>
        <w:t>Process</w:t>
      </w:r>
      <w:r w:rsidRPr="00E005A0">
        <w:t xml:space="preserve">. After the end of the monthly </w:t>
      </w:r>
      <w:r>
        <w:t>Settlement</w:t>
      </w:r>
      <w:r w:rsidRPr="00E005A0">
        <w:t xml:space="preserve"> Process</w:t>
      </w:r>
      <w:r>
        <w:t xml:space="preserve">, these data </w:t>
      </w:r>
      <w:r w:rsidRPr="00E005A0">
        <w:t>cannot be changed anymore.</w:t>
      </w:r>
    </w:p>
    <w:p w14:paraId="4779BA28" w14:textId="6F75078E" w:rsidR="002F718B" w:rsidRPr="00632FF6" w:rsidRDefault="002F718B" w:rsidP="002F718B">
      <w:r w:rsidRPr="00632FF6">
        <w:t xml:space="preserve">In case a TSO verifies a mismatch of </w:t>
      </w:r>
      <w:r w:rsidR="009E035E" w:rsidRPr="00632FF6">
        <w:t>its DAMP</w:t>
      </w:r>
      <w:r w:rsidRPr="00632FF6">
        <w:t xml:space="preserve">, </w:t>
      </w:r>
      <w:r w:rsidR="00DE3529" w:rsidRPr="00632FF6">
        <w:t>t</w:t>
      </w:r>
      <w:r w:rsidRPr="00632FF6">
        <w:t xml:space="preserve">he </w:t>
      </w:r>
      <w:r w:rsidR="00DE3529" w:rsidRPr="00632FF6">
        <w:t>TSO</w:t>
      </w:r>
      <w:r w:rsidRPr="00632FF6">
        <w:t xml:space="preserve"> </w:t>
      </w:r>
      <w:r w:rsidR="00DE3529" w:rsidRPr="00632FF6">
        <w:t xml:space="preserve">immediately </w:t>
      </w:r>
      <w:r w:rsidR="009E035E" w:rsidRPr="00632FF6">
        <w:t xml:space="preserve">informs the </w:t>
      </w:r>
      <w:r w:rsidR="002E2691">
        <w:t>Coordination</w:t>
      </w:r>
      <w:r w:rsidR="009E035E" w:rsidRPr="00632FF6">
        <w:t xml:space="preserve"> Centre</w:t>
      </w:r>
      <w:r w:rsidR="00DE3529" w:rsidRPr="00632FF6">
        <w:t xml:space="preserve"> </w:t>
      </w:r>
      <w:r w:rsidR="009E035E" w:rsidRPr="00632FF6">
        <w:t>and submits a new DAMP document within the given deadline of 4 working days.</w:t>
      </w:r>
      <w:r w:rsidRPr="00632FF6">
        <w:t xml:space="preserve"> After the </w:t>
      </w:r>
      <w:r w:rsidR="00DE3529" w:rsidRPr="00632FF6">
        <w:t xml:space="preserve">validation of </w:t>
      </w:r>
      <w:r w:rsidR="009E035E" w:rsidRPr="00632FF6">
        <w:t>t</w:t>
      </w:r>
      <w:r w:rsidR="00DE3529" w:rsidRPr="00632FF6">
        <w:t>he</w:t>
      </w:r>
      <w:r w:rsidRPr="00632FF6">
        <w:t xml:space="preserve"> monthly </w:t>
      </w:r>
      <w:r w:rsidR="00DE3529" w:rsidRPr="00632FF6">
        <w:t>settlement report</w:t>
      </w:r>
      <w:r w:rsidRPr="00632FF6">
        <w:t xml:space="preserve">, the </w:t>
      </w:r>
      <w:r w:rsidR="009E035E" w:rsidRPr="00632FF6">
        <w:t>DAMP</w:t>
      </w:r>
      <w:r w:rsidRPr="00632FF6">
        <w:t xml:space="preserve"> cannot be changed anymore.</w:t>
      </w:r>
    </w:p>
    <w:p w14:paraId="563CCA35" w14:textId="77777777" w:rsidR="002F718B" w:rsidRPr="002C2863" w:rsidRDefault="002F718B">
      <w:pPr>
        <w:jc w:val="left"/>
        <w:rPr>
          <w:highlight w:val="yellow"/>
        </w:rPr>
      </w:pPr>
      <w:r w:rsidRPr="002C2863">
        <w:rPr>
          <w:highlight w:val="yellow"/>
        </w:rPr>
        <w:br w:type="page"/>
      </w:r>
    </w:p>
    <w:p w14:paraId="0B9B268F" w14:textId="77777777" w:rsidR="00060F52" w:rsidRDefault="00060F52" w:rsidP="00443483">
      <w:pPr>
        <w:pStyle w:val="Heading2"/>
      </w:pPr>
      <w:bookmarkStart w:id="145" w:name="_Toc54000751"/>
      <w:bookmarkStart w:id="146" w:name="_Ref62127578"/>
      <w:bookmarkStart w:id="147" w:name="_Toc90297829"/>
      <w:bookmarkEnd w:id="145"/>
      <w:r w:rsidRPr="00C87891">
        <w:t>Entities</w:t>
      </w:r>
      <w:bookmarkEnd w:id="146"/>
      <w:bookmarkEnd w:id="147"/>
    </w:p>
    <w:p w14:paraId="0B5F96CD" w14:textId="6277C81A" w:rsidR="009F2514" w:rsidRDefault="009F2514" w:rsidP="00A36536"/>
    <w:p w14:paraId="09AF8016" w14:textId="2844760C" w:rsidR="00A36536" w:rsidRDefault="00A36536" w:rsidP="00A36536">
      <w:r>
        <w:t xml:space="preserve">In accordance with Article 3 (2) of the approved </w:t>
      </w:r>
      <w:r w:rsidRPr="00B21DF6">
        <w:t>proposal for common settlement rules applicable to all unintended exchanges of energy</w:t>
      </w:r>
      <w:r>
        <w:t xml:space="preserve"> (</w:t>
      </w:r>
      <w:r w:rsidR="00A4524A">
        <w:t>“</w:t>
      </w:r>
      <w:r>
        <w:t>CCU</w:t>
      </w:r>
      <w:r w:rsidR="00A4524A">
        <w:t>”</w:t>
      </w:r>
      <w:r>
        <w:t>) according to Article 51.1, as well as the approved proposal for common settlement rules applicable to the intended exchanges of energy as a result of the frequency containment process and ramping periods (</w:t>
      </w:r>
      <w:r w:rsidR="00A4524A">
        <w:t>“</w:t>
      </w:r>
      <w:r>
        <w:t>CCFR</w:t>
      </w:r>
      <w:r w:rsidR="00A4524A">
        <w:t>”</w:t>
      </w:r>
      <w:r>
        <w:t xml:space="preserve">) according to Article 50.3 of </w:t>
      </w:r>
      <w:r w:rsidRPr="00B21DF6">
        <w:t>COMMISSION REGULATION (EU) 2017/2195 of 23 November 2017 establishing a guideline on electricity balancing</w:t>
      </w:r>
      <w:r>
        <w:t>, the entities entrusted with the CCU and CCFR accounting function and the CCU and CCFR settlement function (</w:t>
      </w:r>
      <w:r w:rsidR="002E2691">
        <w:t>Coordination</w:t>
      </w:r>
      <w:r>
        <w:t xml:space="preserve"> Centres ) designated by all SA CE TSOs are:</w:t>
      </w:r>
    </w:p>
    <w:p w14:paraId="35E1D4CA" w14:textId="77777777" w:rsidR="009F2514" w:rsidRDefault="009F2514" w:rsidP="009F2514">
      <w:pPr>
        <w:pStyle w:val="ListParagraph"/>
        <w:numPr>
          <w:ilvl w:val="0"/>
          <w:numId w:val="71"/>
        </w:numPr>
      </w:pPr>
      <w:r>
        <w:t>Amprion GmbH, for the northern block of SA CE and</w:t>
      </w:r>
    </w:p>
    <w:p w14:paraId="33AD1729" w14:textId="77777777" w:rsidR="009F2514" w:rsidRDefault="009F2514" w:rsidP="009F2514">
      <w:pPr>
        <w:pStyle w:val="ListParagraph"/>
        <w:numPr>
          <w:ilvl w:val="0"/>
          <w:numId w:val="71"/>
        </w:numPr>
      </w:pPr>
      <w:r>
        <w:t>Swissgrid AG, for the southern block of SA CE.</w:t>
      </w:r>
    </w:p>
    <w:p w14:paraId="7165CEE6" w14:textId="4B5550CC" w:rsidR="00DF6038" w:rsidRDefault="00F25F5E" w:rsidP="5BCF031F">
      <w:r>
        <w:t>For settlement tasks, both entities will share the tasks according to the Implementation Guide.</w:t>
      </w:r>
    </w:p>
    <w:p w14:paraId="59207A15" w14:textId="1D1F9864" w:rsidR="009F2514" w:rsidRDefault="009F2514" w:rsidP="7F985406">
      <w:r>
        <w:t>The entity entrusted with the invoicing task (Invoicing Entity) designated by all SA CE TSOs in accordance with Article 3 (2) of the approved proposal for common settlement rules applicable to all unintended exchanges of energy according to Article 51.1 of COMMISSION REGULATION (EU) 2017/2195 of 23 November 2017 establishing a guideline on electricity balancing</w:t>
      </w:r>
      <w:r w:rsidR="030129D9">
        <w:t>, as well as the approved proposal for common settlement rules applicable to the intended exchanges of energy as a result of the frequency containment process and ramping periods (“CCFR”) according to Article 50.3 of COMMISSION REGULATION (EU) 2017/2195 of 23 November 2017 establishing a guideline on electricity balancing</w:t>
      </w:r>
      <w:r>
        <w:t xml:space="preserve"> is </w:t>
      </w:r>
    </w:p>
    <w:p w14:paraId="589D9FB0" w14:textId="02156A1E" w:rsidR="007D44D9" w:rsidRDefault="007D44D9" w:rsidP="5BCF031F">
      <w:pPr>
        <w:pStyle w:val="ListParagraph"/>
        <w:numPr>
          <w:ilvl w:val="0"/>
          <w:numId w:val="71"/>
        </w:numPr>
      </w:pPr>
      <w:r>
        <w:t>JAO S.A.</w:t>
      </w:r>
    </w:p>
    <w:p w14:paraId="5E644837" w14:textId="61D8B1DD" w:rsidR="009F2514" w:rsidRDefault="009F2514" w:rsidP="009F2514"/>
    <w:p w14:paraId="6AE91F27" w14:textId="7FF5FD15" w:rsidR="009F2514" w:rsidRPr="00043DFD" w:rsidRDefault="009F2514" w:rsidP="009F2514">
      <w:r>
        <w:t>The performance of services through the Invoicing Entity with corresponding service levels and service fees shall be regulated in a separate agreement with the appointed Invoicing Entity.</w:t>
      </w:r>
    </w:p>
    <w:p w14:paraId="1AE12BA4" w14:textId="4E2930E0" w:rsidR="00043DFD" w:rsidRPr="00043DFD" w:rsidRDefault="00043DFD" w:rsidP="00043DFD"/>
    <w:p w14:paraId="016EE9FD" w14:textId="77777777" w:rsidR="009F2514" w:rsidRDefault="009F2514" w:rsidP="00074201">
      <w:pPr>
        <w:pStyle w:val="Heading2"/>
      </w:pPr>
      <w:bookmarkStart w:id="148" w:name="_Toc85043898"/>
      <w:bookmarkStart w:id="149" w:name="_Ref55547602"/>
      <w:bookmarkStart w:id="150" w:name="_Ref55910856"/>
      <w:bookmarkStart w:id="151" w:name="_Toc90297830"/>
      <w:r>
        <w:t>Remuneration</w:t>
      </w:r>
      <w:bookmarkEnd w:id="151"/>
      <w:r>
        <w:t xml:space="preserve"> </w:t>
      </w:r>
      <w:bookmarkEnd w:id="148"/>
    </w:p>
    <w:p w14:paraId="50977EB2" w14:textId="1AFB034B" w:rsidR="007B3AE1" w:rsidRDefault="00E16283" w:rsidP="00A263F1">
      <w:r>
        <w:t xml:space="preserve">The TSOs shall reimburse the following costs incurred by the </w:t>
      </w:r>
      <w:r w:rsidR="002E2691">
        <w:t>Coordination</w:t>
      </w:r>
      <w:r>
        <w:t xml:space="preserve"> Centres</w:t>
      </w:r>
      <w:r w:rsidR="00E063A5">
        <w:t>.</w:t>
      </w:r>
    </w:p>
    <w:p w14:paraId="198BFAE3" w14:textId="2898186D" w:rsidR="267BE37B" w:rsidRDefault="267BE37B" w:rsidP="384D70B8">
      <w:r>
        <w:t xml:space="preserve">Amprion, as the </w:t>
      </w:r>
      <w:r w:rsidR="002E2691">
        <w:t>Coordination</w:t>
      </w:r>
      <w:r>
        <w:t xml:space="preserve"> Centre for the northern block of SA CE shall invoice</w:t>
      </w:r>
      <w:r w:rsidR="001C626E">
        <w:t xml:space="preserve"> APG, Elia,  </w:t>
      </w:r>
      <w:r w:rsidR="001C626E" w:rsidRPr="00F07EAC">
        <w:t>ČEPS, Energinet</w:t>
      </w:r>
      <w:r w:rsidR="001C626E">
        <w:t xml:space="preserve">, TenneT Germany, TransnetBW, 50Hertz, MAVIR, Creos, TenneT NL, PSE, Transelectrica, SEPS and Ukrenergo, according to the distribution table below. </w:t>
      </w:r>
      <w:r>
        <w:t xml:space="preserve">Swissgrid, as the </w:t>
      </w:r>
      <w:r w:rsidR="002E2691">
        <w:t>Coordination</w:t>
      </w:r>
      <w:r>
        <w:t xml:space="preserve"> Centre for the southern block of SA CE shall invoice</w:t>
      </w:r>
      <w:r w:rsidR="001C626E">
        <w:t xml:space="preserve"> OST, NOSBiH, HOPS, RTE, IPTO, Terna, MEPSO, CGES, REN, EMS, ELES, REE, KOSTT and TEIAS, according to the distribution table below.</w:t>
      </w:r>
    </w:p>
    <w:p w14:paraId="4F352384" w14:textId="5C82BFED" w:rsidR="001C626E" w:rsidRDefault="001C626E" w:rsidP="384D70B8">
      <w:r>
        <w:t xml:space="preserve">The total </w:t>
      </w:r>
      <w:r w:rsidR="00212B0C">
        <w:t>reimbursement</w:t>
      </w:r>
      <w:r>
        <w:t xml:space="preserve"> </w:t>
      </w:r>
      <w:r w:rsidR="00212B0C">
        <w:t>is shared equally by</w:t>
      </w:r>
      <w:r>
        <w:t xml:space="preserve"> </w:t>
      </w:r>
      <w:r w:rsidR="00212B0C">
        <w:t>Amprion and Swissgrid.</w:t>
      </w:r>
    </w:p>
    <w:p w14:paraId="2FDBEFB0" w14:textId="6FD079EE" w:rsidR="00E16283" w:rsidRDefault="003B630A" w:rsidP="00A263F1">
      <w:r>
        <w:t xml:space="preserve">There are two types of costs: set-up costs which occur only once and operational costs which will be </w:t>
      </w:r>
      <w:r w:rsidR="009F2514">
        <w:t>reimbursed on a yearly basis. The costs are shared according to the cost sharing principles of EBGL Article 23(3).</w:t>
      </w:r>
    </w:p>
    <w:p w14:paraId="5C196AB0" w14:textId="54D66AE6" w:rsidR="002A7C28" w:rsidRPr="00A263F1" w:rsidRDefault="002A7C28" w:rsidP="00F07EAC">
      <w:pPr>
        <w:pStyle w:val="Caption"/>
        <w:jc w:val="both"/>
        <w:rPr>
          <w:rFonts w:ascii="Arial" w:hAnsi="Arial" w:cs="Arial"/>
        </w:rPr>
      </w:pPr>
    </w:p>
    <w:tbl>
      <w:tblPr>
        <w:tblW w:w="7792" w:type="dxa"/>
        <w:tblCellMar>
          <w:left w:w="70" w:type="dxa"/>
          <w:right w:w="70" w:type="dxa"/>
        </w:tblCellMar>
        <w:tblLook w:val="04A0" w:firstRow="1" w:lastRow="0" w:firstColumn="1" w:lastColumn="0" w:noHBand="0" w:noVBand="1"/>
      </w:tblPr>
      <w:tblGrid>
        <w:gridCol w:w="2145"/>
        <w:gridCol w:w="3804"/>
        <w:gridCol w:w="1843"/>
      </w:tblGrid>
      <w:tr w:rsidR="009F2514" w:rsidRPr="001C626E" w14:paraId="45C30D50" w14:textId="77777777" w:rsidTr="00F07EAC">
        <w:trPr>
          <w:trHeight w:val="289"/>
        </w:trPr>
        <w:tc>
          <w:tcPr>
            <w:tcW w:w="77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BBB59" w:themeFill="accent3"/>
            <w:vAlign w:val="center"/>
          </w:tcPr>
          <w:p w14:paraId="202BA76F" w14:textId="1DC6A308" w:rsidR="009F2514" w:rsidRPr="00F07EAC" w:rsidRDefault="009F2514" w:rsidP="384D70B8">
            <w:pPr>
              <w:jc w:val="center"/>
              <w:rPr>
                <w:rFonts w:asciiTheme="majorHAnsi" w:eastAsia="Times New Roman" w:hAnsiTheme="majorHAnsi" w:cstheme="majorHAnsi"/>
                <w:b/>
                <w:bCs/>
                <w:color w:val="000000"/>
                <w:lang w:eastAsia="de-DE"/>
              </w:rPr>
            </w:pPr>
            <w:r w:rsidRPr="00F07EAC">
              <w:rPr>
                <w:rFonts w:asciiTheme="majorHAnsi" w:hAnsiTheme="majorHAnsi" w:cstheme="majorHAnsi"/>
                <w:b/>
                <w:bCs/>
                <w:color w:val="000000" w:themeColor="text1"/>
              </w:rPr>
              <w:t>One-Time Costs for implementation</w:t>
            </w:r>
          </w:p>
        </w:tc>
      </w:tr>
      <w:tr w:rsidR="009F2514" w:rsidRPr="001C626E" w14:paraId="6FC73285" w14:textId="77777777" w:rsidTr="00F07EAC">
        <w:trPr>
          <w:trHeight w:val="290"/>
        </w:trPr>
        <w:tc>
          <w:tcPr>
            <w:tcW w:w="2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hideMark/>
          </w:tcPr>
          <w:p w14:paraId="49AB3B28" w14:textId="73DD08A6" w:rsidR="009F2514" w:rsidRPr="00F07EAC" w:rsidRDefault="009F2514" w:rsidP="384D70B8">
            <w:pPr>
              <w:rPr>
                <w:rFonts w:asciiTheme="majorHAnsi" w:hAnsiTheme="majorHAnsi" w:cstheme="majorHAnsi"/>
                <w:b/>
                <w:bCs/>
              </w:rPr>
            </w:pPr>
            <w:r w:rsidRPr="00F07EAC">
              <w:rPr>
                <w:rFonts w:asciiTheme="majorHAnsi" w:hAnsiTheme="majorHAnsi" w:cstheme="majorHAnsi"/>
                <w:b/>
                <w:bCs/>
              </w:rPr>
              <w:t>Costs (EUR)</w:t>
            </w:r>
          </w:p>
        </w:tc>
        <w:tc>
          <w:tcPr>
            <w:tcW w:w="3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9093BAE" w14:textId="77777777" w:rsidR="009F2514" w:rsidRPr="00F07EAC" w:rsidRDefault="009F2514" w:rsidP="009F2514">
            <w:pPr>
              <w:rPr>
                <w:rFonts w:asciiTheme="majorHAnsi" w:hAnsiTheme="majorHAnsi" w:cstheme="majorHAnsi"/>
                <w:b/>
              </w:rPr>
            </w:pPr>
            <w:r w:rsidRPr="00F07EAC">
              <w:rPr>
                <w:rFonts w:asciiTheme="majorHAnsi" w:hAnsiTheme="majorHAnsi" w:cstheme="majorHAnsi"/>
                <w:b/>
              </w:rPr>
              <w:t>Participants</w:t>
            </w:r>
          </w:p>
        </w:tc>
        <w:tc>
          <w:tcPr>
            <w:tcW w:w="184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2EFDA"/>
            <w:vAlign w:val="bottom"/>
            <w:hideMark/>
          </w:tcPr>
          <w:p w14:paraId="02436D5D" w14:textId="1D3097B1" w:rsidR="009F2514" w:rsidRPr="00F07EAC" w:rsidRDefault="009F2514" w:rsidP="384D70B8">
            <w:pPr>
              <w:rPr>
                <w:rFonts w:asciiTheme="majorHAnsi" w:hAnsiTheme="majorHAnsi" w:cstheme="majorHAnsi"/>
                <w:b/>
                <w:bCs/>
              </w:rPr>
            </w:pPr>
            <w:r w:rsidRPr="00F07EAC">
              <w:rPr>
                <w:rFonts w:asciiTheme="majorHAnsi" w:hAnsiTheme="majorHAnsi" w:cstheme="majorHAnsi"/>
                <w:b/>
                <w:bCs/>
              </w:rPr>
              <w:t>Costs (EUR)</w:t>
            </w:r>
            <w:r w:rsidR="400AF69B" w:rsidRPr="00F07EAC">
              <w:rPr>
                <w:rFonts w:asciiTheme="majorHAnsi" w:hAnsiTheme="majorHAnsi" w:cstheme="majorHAnsi"/>
                <w:b/>
                <w:bCs/>
              </w:rPr>
              <w:t xml:space="preserve"> excl. VAT</w:t>
            </w:r>
          </w:p>
        </w:tc>
      </w:tr>
      <w:tr w:rsidR="00436342" w:rsidRPr="001C626E" w14:paraId="28875F28" w14:textId="77777777" w:rsidTr="00F07EAC">
        <w:trPr>
          <w:trHeight w:val="300"/>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5823763" w14:textId="5D0BC8D7" w:rsidR="00436342" w:rsidRPr="00F07EAC" w:rsidRDefault="00436342" w:rsidP="00436342">
            <w:pPr>
              <w:spacing w:after="0" w:line="240" w:lineRule="auto"/>
              <w:jc w:val="left"/>
              <w:rPr>
                <w:rFonts w:asciiTheme="majorHAnsi" w:eastAsia="Times New Roman" w:hAnsiTheme="majorHAnsi" w:cstheme="majorHAnsi"/>
                <w:lang w:eastAsia="de-DE"/>
              </w:rPr>
            </w:pPr>
            <w:r w:rsidRPr="00F07EAC">
              <w:rPr>
                <w:rFonts w:asciiTheme="majorHAnsi" w:hAnsiTheme="majorHAnsi" w:cstheme="majorHAnsi"/>
              </w:rPr>
              <w:t>Albania</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F93B823" w14:textId="2A8FFEA0" w:rsidR="00436342" w:rsidRPr="00F07EAC" w:rsidRDefault="00436342" w:rsidP="00436342">
            <w:pPr>
              <w:spacing w:after="0" w:line="240" w:lineRule="auto"/>
              <w:jc w:val="left"/>
              <w:rPr>
                <w:rFonts w:asciiTheme="majorHAnsi" w:eastAsia="Times New Roman" w:hAnsiTheme="majorHAnsi" w:cstheme="majorHAnsi"/>
                <w:lang w:eastAsia="de-DE"/>
              </w:rPr>
            </w:pPr>
            <w:r w:rsidRPr="00F07EAC">
              <w:rPr>
                <w:rFonts w:asciiTheme="majorHAnsi" w:hAnsiTheme="majorHAnsi" w:cstheme="majorHAnsi"/>
              </w:rPr>
              <w:t>OST</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610C1B7C" w14:textId="54C43C92" w:rsidR="00436342" w:rsidRPr="00F07EAC" w:rsidRDefault="00436342" w:rsidP="00436342">
            <w:pPr>
              <w:spacing w:after="0" w:line="240" w:lineRule="auto"/>
              <w:jc w:val="left"/>
              <w:rPr>
                <w:rFonts w:asciiTheme="majorHAnsi" w:eastAsia="Times New Roman" w:hAnsiTheme="majorHAnsi" w:cstheme="majorHAnsi"/>
                <w:b/>
                <w:bCs/>
                <w:color w:val="000000"/>
                <w:lang w:eastAsia="de-DE"/>
              </w:rPr>
            </w:pPr>
            <w:r w:rsidRPr="00F07EAC">
              <w:rPr>
                <w:rFonts w:asciiTheme="majorHAnsi" w:hAnsiTheme="majorHAnsi" w:cstheme="majorHAnsi"/>
              </w:rPr>
              <w:t xml:space="preserve"> 2.181,43    </w:t>
            </w:r>
          </w:p>
        </w:tc>
      </w:tr>
      <w:tr w:rsidR="00436342" w:rsidRPr="001C626E" w14:paraId="157C91BB"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C5A45B7" w14:textId="25B336EE" w:rsidR="00436342" w:rsidRPr="00F07EAC" w:rsidRDefault="00436342" w:rsidP="00436342">
            <w:pPr>
              <w:spacing w:after="0" w:line="240" w:lineRule="auto"/>
              <w:jc w:val="left"/>
              <w:rPr>
                <w:rFonts w:asciiTheme="majorHAnsi" w:eastAsia="Times New Roman" w:hAnsiTheme="majorHAnsi" w:cstheme="majorHAnsi"/>
                <w:lang w:eastAsia="de-DE"/>
              </w:rPr>
            </w:pPr>
            <w:r w:rsidRPr="00F07EAC">
              <w:rPr>
                <w:rFonts w:asciiTheme="majorHAnsi" w:hAnsiTheme="majorHAnsi" w:cstheme="majorHAnsi"/>
              </w:rPr>
              <w:t xml:space="preserve">Austria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E31628F" w14:textId="29BE12CF" w:rsidR="00436342" w:rsidRPr="00F07EAC" w:rsidRDefault="00436342" w:rsidP="00436342">
            <w:pPr>
              <w:spacing w:after="0" w:line="240" w:lineRule="auto"/>
              <w:jc w:val="left"/>
              <w:rPr>
                <w:rFonts w:asciiTheme="majorHAnsi" w:eastAsia="Times New Roman" w:hAnsiTheme="majorHAnsi" w:cstheme="majorHAnsi"/>
                <w:lang w:val="en-US" w:eastAsia="de-DE"/>
              </w:rPr>
            </w:pPr>
            <w:r w:rsidRPr="00F07EAC">
              <w:rPr>
                <w:rFonts w:asciiTheme="majorHAnsi" w:hAnsiTheme="majorHAnsi" w:cstheme="majorHAnsi"/>
              </w:rPr>
              <w:t xml:space="preserve">APG - Austrian Power Grid AG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79EE324" w14:textId="7B2A335B"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4.172,07    </w:t>
            </w:r>
          </w:p>
        </w:tc>
      </w:tr>
      <w:tr w:rsidR="00436342" w:rsidRPr="001C626E" w14:paraId="11C00955"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6EF6881" w14:textId="5FEF8C25"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Belgium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9891833" w14:textId="0476381F" w:rsidR="00436342" w:rsidRPr="00F07EAC" w:rsidRDefault="00436342" w:rsidP="00436342">
            <w:pPr>
              <w:spacing w:after="0" w:line="240" w:lineRule="auto"/>
              <w:jc w:val="left"/>
              <w:rPr>
                <w:rFonts w:asciiTheme="majorHAnsi" w:eastAsia="Times New Roman" w:hAnsiTheme="majorHAnsi" w:cstheme="majorHAnsi"/>
                <w:lang w:val="en-US" w:eastAsia="de-DE"/>
              </w:rPr>
            </w:pPr>
            <w:r w:rsidRPr="00F07EAC">
              <w:rPr>
                <w:rFonts w:asciiTheme="majorHAnsi" w:hAnsiTheme="majorHAnsi" w:cstheme="majorHAnsi"/>
              </w:rPr>
              <w:t xml:space="preserve">Elia - Elia System Operator SA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6B720F40" w14:textId="2F68EB7F"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4.810,18    </w:t>
            </w:r>
          </w:p>
        </w:tc>
      </w:tr>
      <w:tr w:rsidR="00436342" w:rsidRPr="001C626E" w14:paraId="6764E4DD"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F32B7C1" w14:textId="511D8BD2"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Bosnia</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7C03198" w14:textId="10C4B5F6"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Nezavisni Operator Sistema</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133B5CD4" w14:textId="33D056B8"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2.361,60    </w:t>
            </w:r>
          </w:p>
        </w:tc>
      </w:tr>
      <w:tr w:rsidR="00436342" w:rsidRPr="001C626E" w14:paraId="6185C069"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4ACE6CD" w14:textId="46A3C892"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Bulgaria</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81F0B42" w14:textId="4628E292"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Elektroenergien Sistemen Operator</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79FFB312" w14:textId="1FD05A2E"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3.019,07    </w:t>
            </w:r>
          </w:p>
        </w:tc>
      </w:tr>
      <w:tr w:rsidR="00436342" w:rsidRPr="001C626E" w14:paraId="40E744A8"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333542F" w14:textId="35DC381A"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Croatia</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3317953" w14:textId="76B6B28A" w:rsidR="00436342" w:rsidRPr="00F07EAC" w:rsidRDefault="00436342" w:rsidP="00436342">
            <w:pPr>
              <w:spacing w:after="0" w:line="240" w:lineRule="auto"/>
              <w:jc w:val="left"/>
              <w:rPr>
                <w:rFonts w:asciiTheme="majorHAnsi" w:eastAsia="Times New Roman" w:hAnsiTheme="majorHAnsi" w:cstheme="majorHAnsi"/>
                <w:lang w:val="en-US" w:eastAsia="de-DE"/>
              </w:rPr>
            </w:pPr>
            <w:r w:rsidRPr="00F07EAC">
              <w:rPr>
                <w:rFonts w:asciiTheme="majorHAnsi" w:hAnsiTheme="majorHAnsi" w:cstheme="majorHAnsi"/>
              </w:rPr>
              <w:t>HOPS - Croatian Transmission System</w:t>
            </w:r>
            <w:r w:rsidRPr="00F07EAC">
              <w:rPr>
                <w:rFonts w:asciiTheme="majorHAnsi" w:hAnsiTheme="majorHAnsi" w:cstheme="majorHAnsi"/>
              </w:rPr>
              <w:br/>
              <w:t>Operator Ltd</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C082E5B" w14:textId="39A2EFAC"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2.523,74    </w:t>
            </w:r>
          </w:p>
        </w:tc>
      </w:tr>
      <w:tr w:rsidR="00436342" w:rsidRPr="001C626E" w14:paraId="2536DFEB"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341B495" w14:textId="14C9D18E"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Czech Republic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AB9598D" w14:textId="5C27FFDA"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ČEPS - ČEPS, a.s.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3AD2A28" w14:textId="0C84D3E5"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3.978,78    </w:t>
            </w:r>
          </w:p>
        </w:tc>
      </w:tr>
      <w:tr w:rsidR="00436342" w:rsidRPr="001C626E" w14:paraId="0C318DC2"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5390913" w14:textId="4442EA46"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Denmark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81DF485" w14:textId="60CBC9C2" w:rsidR="00436342" w:rsidRPr="00F07EAC" w:rsidRDefault="00436342" w:rsidP="00436342">
            <w:pPr>
              <w:spacing w:after="0" w:line="240" w:lineRule="auto"/>
              <w:jc w:val="left"/>
              <w:rPr>
                <w:rFonts w:asciiTheme="majorHAnsi" w:eastAsia="Times New Roman" w:hAnsiTheme="majorHAnsi" w:cstheme="majorHAnsi"/>
                <w:lang w:val="en-US" w:eastAsia="de-DE"/>
              </w:rPr>
            </w:pPr>
            <w:r w:rsidRPr="00F07EAC">
              <w:rPr>
                <w:rFonts w:asciiTheme="majorHAnsi" w:hAnsiTheme="majorHAnsi" w:cstheme="majorHAnsi"/>
              </w:rPr>
              <w:t xml:space="preserve">Energinet.dk IPC - Energinet.dk Independent Power Entreprise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703A6B41" w14:textId="2761B496"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1.750,55    </w:t>
            </w:r>
          </w:p>
        </w:tc>
      </w:tr>
      <w:tr w:rsidR="00436342" w:rsidRPr="001C626E" w14:paraId="77DCF390"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41809BD" w14:textId="00E9A52C"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France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93A95B1" w14:textId="1ED54A2D" w:rsidR="00436342" w:rsidRPr="00C151BB" w:rsidRDefault="00436342" w:rsidP="00436342">
            <w:pPr>
              <w:spacing w:after="0" w:line="240" w:lineRule="auto"/>
              <w:jc w:val="left"/>
              <w:rPr>
                <w:rFonts w:asciiTheme="majorHAnsi" w:eastAsia="Times New Roman" w:hAnsiTheme="majorHAnsi" w:cstheme="majorHAnsi"/>
                <w:lang w:val="fr-BE" w:eastAsia="de-DE"/>
              </w:rPr>
            </w:pPr>
            <w:r w:rsidRPr="00C151BB">
              <w:rPr>
                <w:rFonts w:asciiTheme="majorHAnsi" w:hAnsiTheme="majorHAnsi" w:cstheme="majorHAnsi"/>
                <w:lang w:val="fr-BE"/>
              </w:rPr>
              <w:t xml:space="preserve">RTE - Réseau de Transport d'electricité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78D6EB6" w14:textId="20D150D3"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C151BB">
              <w:rPr>
                <w:rFonts w:asciiTheme="majorHAnsi" w:hAnsiTheme="majorHAnsi" w:cstheme="majorHAnsi"/>
                <w:lang w:val="fr-BE"/>
              </w:rPr>
              <w:t xml:space="preserve"> </w:t>
            </w:r>
            <w:r w:rsidRPr="00F07EAC">
              <w:rPr>
                <w:rFonts w:asciiTheme="majorHAnsi" w:hAnsiTheme="majorHAnsi" w:cstheme="majorHAnsi"/>
              </w:rPr>
              <w:t xml:space="preserve">17.073,56    </w:t>
            </w:r>
          </w:p>
        </w:tc>
      </w:tr>
      <w:tr w:rsidR="00436342" w:rsidRPr="001C626E" w14:paraId="2CAFF21C"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278C509" w14:textId="1D19687A"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Germany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E2BCF80" w14:textId="37C52FB2"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Amprion - Amprion GmbH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11C42444" w14:textId="0BC4F1E5"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8.189,97    </w:t>
            </w:r>
          </w:p>
        </w:tc>
      </w:tr>
      <w:tr w:rsidR="00436342" w:rsidRPr="001C626E" w14:paraId="3CB4495E"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4E7F8DB" w14:textId="443C2A41"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Germany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242DDDA" w14:textId="42E5128E"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TenneT GER – Tennet TSO GmbH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A45A413" w14:textId="699A70B2"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6.905,26    </w:t>
            </w:r>
          </w:p>
        </w:tc>
      </w:tr>
      <w:tr w:rsidR="00436342" w:rsidRPr="001C626E" w14:paraId="1B3D01DA"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B6F6B2B" w14:textId="23B3A985"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Germany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C6F5086" w14:textId="1A2F3F08"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TransnetBW -TransnetBW GmbH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457100EB" w14:textId="56ECD20A"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3.694,82    </w:t>
            </w:r>
          </w:p>
        </w:tc>
      </w:tr>
      <w:tr w:rsidR="00436342" w:rsidRPr="001C626E" w14:paraId="720F9F23"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E7CD0CE" w14:textId="10B4EBF0"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Germany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56322AF" w14:textId="70BF4815"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50Hertz - 50Hertz Transmission GmbH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7368817" w14:textId="5920E11D"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4.996,03    </w:t>
            </w:r>
          </w:p>
        </w:tc>
      </w:tr>
      <w:tr w:rsidR="00436342" w:rsidRPr="001C626E" w14:paraId="07A08CBA"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C58F82D" w14:textId="3C02B4C1"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Greece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C35B6EE" w14:textId="48F457C0" w:rsidR="00436342" w:rsidRPr="00F07EAC" w:rsidRDefault="00436342" w:rsidP="00436342">
            <w:pPr>
              <w:spacing w:after="0" w:line="240" w:lineRule="auto"/>
              <w:jc w:val="left"/>
              <w:rPr>
                <w:rFonts w:asciiTheme="majorHAnsi" w:eastAsia="Times New Roman" w:hAnsiTheme="majorHAnsi" w:cstheme="majorHAnsi"/>
                <w:lang w:val="en-US" w:eastAsia="de-DE"/>
              </w:rPr>
            </w:pPr>
            <w:r w:rsidRPr="00F07EAC">
              <w:rPr>
                <w:rFonts w:asciiTheme="majorHAnsi" w:hAnsiTheme="majorHAnsi" w:cstheme="majorHAnsi"/>
              </w:rPr>
              <w:t xml:space="preserve">IPTO SA - Independent Power Transmission Operator S.A.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13B7A779" w14:textId="2FCF80EF"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3.686,92    </w:t>
            </w:r>
          </w:p>
        </w:tc>
      </w:tr>
      <w:tr w:rsidR="00436342" w:rsidRPr="001C626E" w14:paraId="5A73CAD5"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5435ECA" w14:textId="159F4751"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Hungary</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4982D18" w14:textId="55098ABF"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lang w:val="de-DE"/>
              </w:rPr>
              <w:t>MAVIR ZRt. - MAVIR Magyar Villamosenergia-ipari Átviteli Rendszerirányító Zártkörűen Működő Részvénytársaság</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D06D706" w14:textId="6C0940A4"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lang w:val="de-DE"/>
              </w:rPr>
              <w:t xml:space="preserve"> </w:t>
            </w:r>
            <w:r w:rsidRPr="00F07EAC">
              <w:rPr>
                <w:rFonts w:asciiTheme="majorHAnsi" w:hAnsiTheme="majorHAnsi" w:cstheme="majorHAnsi"/>
              </w:rPr>
              <w:t xml:space="preserve">3.332,57    </w:t>
            </w:r>
          </w:p>
        </w:tc>
      </w:tr>
      <w:tr w:rsidR="00436342" w:rsidRPr="001C626E" w14:paraId="59736913"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7393C6D" w14:textId="2D61AD5E"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Italy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9CFDC6A" w14:textId="67A9A429"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lang w:val="pl-PL"/>
              </w:rPr>
              <w:t xml:space="preserve">Terna - Terna, Rete Elettrica Nazionale SpA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1647BEE7" w14:textId="706ED0B2"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lang w:val="pl-PL"/>
              </w:rPr>
              <w:t xml:space="preserve"> </w:t>
            </w:r>
            <w:r w:rsidRPr="00F07EAC">
              <w:rPr>
                <w:rFonts w:asciiTheme="majorHAnsi" w:hAnsiTheme="majorHAnsi" w:cstheme="majorHAnsi"/>
              </w:rPr>
              <w:t xml:space="preserve">12.202,06    </w:t>
            </w:r>
          </w:p>
        </w:tc>
      </w:tr>
      <w:tr w:rsidR="00436342" w:rsidRPr="001C626E" w14:paraId="430ED63D"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B92F0D8" w14:textId="42C2FBE5"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Luxembourgh</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F2E5A60" w14:textId="451C7906"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Creos</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04DC86E" w14:textId="23A53754"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884,49    </w:t>
            </w:r>
          </w:p>
        </w:tc>
      </w:tr>
      <w:tr w:rsidR="00436342" w:rsidRPr="001C626E" w14:paraId="48E2363D"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B3DB76E" w14:textId="2006EA6C"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Macedonia</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9B2D3F2" w14:textId="093692C0"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MEPSO</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C79D4B6" w14:textId="38797D2C"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2.172,22    </w:t>
            </w:r>
          </w:p>
        </w:tc>
      </w:tr>
      <w:tr w:rsidR="00436342" w:rsidRPr="001C626E" w14:paraId="5FD882C0"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947A01F" w14:textId="1980B0D2"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Montenegro</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BD6968F" w14:textId="15EA0C4C"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CGES</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325AC8DD" w14:textId="1EB48D94"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2.058,80    </w:t>
            </w:r>
          </w:p>
        </w:tc>
      </w:tr>
      <w:tr w:rsidR="00436342" w:rsidRPr="001C626E" w14:paraId="7652202C"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01CEFFF" w14:textId="6097BF9D"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Netherlands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12FC0DC" w14:textId="78CBB0D1"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TenneT TSO - TenneT TSO B.V.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60068CBD" w14:textId="40EF1815"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5.810,75    </w:t>
            </w:r>
          </w:p>
        </w:tc>
      </w:tr>
      <w:tr w:rsidR="00436342" w:rsidRPr="001C626E" w14:paraId="15CF6B96"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7A93F4E" w14:textId="423F86D6"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Poland</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2EE6EF9" w14:textId="17B3380C"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PSE - PSE S.A.</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02425EA" w14:textId="3609C17C"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7.071,50    </w:t>
            </w:r>
          </w:p>
        </w:tc>
      </w:tr>
      <w:tr w:rsidR="00436342" w:rsidRPr="001C626E" w14:paraId="0C23455A"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15F0A58" w14:textId="05FA1F46"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Portugal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61CBC4B" w14:textId="4CE6810E"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456C5">
              <w:rPr>
                <w:rFonts w:asciiTheme="majorHAnsi" w:hAnsiTheme="majorHAnsi" w:cstheme="majorHAnsi"/>
                <w:lang w:val="es-CR"/>
              </w:rPr>
              <w:t xml:space="preserve">REN - Rede Eléctrica Nacional, S.A.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770596B" w14:textId="3FB47968"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456C5">
              <w:rPr>
                <w:rFonts w:asciiTheme="majorHAnsi" w:hAnsiTheme="majorHAnsi" w:cstheme="majorHAnsi"/>
                <w:lang w:val="es-CR"/>
              </w:rPr>
              <w:t xml:space="preserve"> </w:t>
            </w:r>
            <w:r w:rsidRPr="00F07EAC">
              <w:rPr>
                <w:rFonts w:asciiTheme="majorHAnsi" w:hAnsiTheme="majorHAnsi" w:cstheme="majorHAnsi"/>
              </w:rPr>
              <w:t xml:space="preserve">3.612,72    </w:t>
            </w:r>
          </w:p>
        </w:tc>
      </w:tr>
      <w:tr w:rsidR="00436342" w:rsidRPr="001C626E" w14:paraId="4C982171"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0283B41" w14:textId="609F4A54"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Romania</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275F0DF" w14:textId="783AC0CE"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Transelectrica</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61A6870E" w14:textId="334BF858"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3.642,43    </w:t>
            </w:r>
          </w:p>
        </w:tc>
      </w:tr>
      <w:tr w:rsidR="00436342" w:rsidRPr="001C626E" w14:paraId="0183D42C"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347C179" w14:textId="69A7DC54"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Serbia</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2D5F521" w14:textId="01CB420A"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EMS AD</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1529D958" w14:textId="33C38A3F"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2.951,53    </w:t>
            </w:r>
          </w:p>
        </w:tc>
      </w:tr>
      <w:tr w:rsidR="00436342" w:rsidRPr="001C626E" w14:paraId="6982D495"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96F4F3C" w14:textId="42914550"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Slovak Republic</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3F93ED" w14:textId="0FDF9BB6"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lang w:val="de-DE"/>
              </w:rPr>
              <w:t>SEPS - Slovenská elektrizačná prenosová sústava, a.s.</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681ADC50" w14:textId="36316991"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lang w:val="de-DE"/>
              </w:rPr>
              <w:t xml:space="preserve"> </w:t>
            </w:r>
            <w:r w:rsidRPr="00F07EAC">
              <w:rPr>
                <w:rFonts w:asciiTheme="majorHAnsi" w:hAnsiTheme="majorHAnsi" w:cstheme="majorHAnsi"/>
              </w:rPr>
              <w:t xml:space="preserve">2.869,51    </w:t>
            </w:r>
          </w:p>
        </w:tc>
      </w:tr>
      <w:tr w:rsidR="00436342" w:rsidRPr="001C626E" w14:paraId="7526E95E"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B224B11" w14:textId="23358C5E"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Slovenia</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DA6BD71" w14:textId="16D5B575" w:rsidR="00436342" w:rsidRPr="00F456C5" w:rsidRDefault="00436342" w:rsidP="00436342">
            <w:pPr>
              <w:spacing w:after="0" w:line="240" w:lineRule="auto"/>
              <w:jc w:val="left"/>
              <w:rPr>
                <w:rFonts w:asciiTheme="majorHAnsi" w:eastAsia="Times New Roman" w:hAnsiTheme="majorHAnsi" w:cstheme="majorHAnsi"/>
                <w:lang w:val="es-CR" w:eastAsia="de-DE"/>
              </w:rPr>
            </w:pPr>
            <w:r w:rsidRPr="00F456C5">
              <w:rPr>
                <w:rFonts w:asciiTheme="majorHAnsi" w:hAnsiTheme="majorHAnsi" w:cstheme="majorHAnsi"/>
                <w:lang w:val="es-CR"/>
              </w:rPr>
              <w:t>ELES - ELES, d.o.o., sistemski operater prenosnega elektroenergetskega omrežja</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10BE71F8" w14:textId="6DE514A1"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456C5">
              <w:rPr>
                <w:rFonts w:asciiTheme="majorHAnsi" w:hAnsiTheme="majorHAnsi" w:cstheme="majorHAnsi"/>
                <w:lang w:val="es-CR"/>
              </w:rPr>
              <w:t xml:space="preserve"> </w:t>
            </w:r>
            <w:r w:rsidRPr="00F07EAC">
              <w:rPr>
                <w:rFonts w:asciiTheme="majorHAnsi" w:hAnsiTheme="majorHAnsi" w:cstheme="majorHAnsi"/>
              </w:rPr>
              <w:t xml:space="preserve">2.428,85    </w:t>
            </w:r>
          </w:p>
        </w:tc>
      </w:tr>
      <w:tr w:rsidR="00436342" w:rsidRPr="001C626E" w14:paraId="2B3CCBA5"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D3B6C7" w14:textId="44B81DE1"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Spain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0517E569" w14:textId="31C09655"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456C5">
              <w:rPr>
                <w:rFonts w:asciiTheme="majorHAnsi" w:hAnsiTheme="majorHAnsi" w:cstheme="majorHAnsi"/>
                <w:lang w:val="es-CR"/>
              </w:rPr>
              <w:t xml:space="preserve">REE - Red Eléctrica de EspaÑa S.A.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0C89D07" w14:textId="4ADD1BE6"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456C5">
              <w:rPr>
                <w:rFonts w:asciiTheme="majorHAnsi" w:hAnsiTheme="majorHAnsi" w:cstheme="majorHAnsi"/>
                <w:lang w:val="es-CR"/>
              </w:rPr>
              <w:t xml:space="preserve"> </w:t>
            </w:r>
            <w:r w:rsidRPr="00F07EAC">
              <w:rPr>
                <w:rFonts w:asciiTheme="majorHAnsi" w:hAnsiTheme="majorHAnsi" w:cstheme="majorHAnsi"/>
              </w:rPr>
              <w:t xml:space="preserve">10.255,92    </w:t>
            </w:r>
          </w:p>
        </w:tc>
      </w:tr>
      <w:tr w:rsidR="00436342" w:rsidRPr="001C626E" w14:paraId="0429EEFB"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65D31F6" w14:textId="70F4EE5D" w:rsidR="00436342" w:rsidRPr="00F07EAC" w:rsidRDefault="009F2514" w:rsidP="384D70B8">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Switzerland</w:t>
            </w:r>
            <w:r w:rsidRPr="00F07EAC">
              <w:rPr>
                <w:rFonts w:asciiTheme="majorHAnsi" w:hAnsiTheme="majorHAnsi" w:cstheme="majorHAnsi"/>
                <w:vertAlign w:val="superscript"/>
              </w:rPr>
              <w:t xml:space="preserve"> </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0529879" w14:textId="643C3B99"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 xml:space="preserve">Swissgrid - Swissgrid AG </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BB043E9" w14:textId="2A5FF9ED"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3.907,97    </w:t>
            </w:r>
          </w:p>
        </w:tc>
      </w:tr>
      <w:tr w:rsidR="00436342" w:rsidRPr="001C626E" w14:paraId="640FE9BF"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7C1C28A" w14:textId="0E1D4277"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Ukraine</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F50FA2E" w14:textId="78E9A319"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Ukrenergo</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09A8C95" w14:textId="0E7E4CDB"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7.094,63    </w:t>
            </w:r>
          </w:p>
        </w:tc>
      </w:tr>
      <w:tr w:rsidR="00436342" w:rsidRPr="001C626E" w14:paraId="1E457980"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1873860" w14:textId="28D18011" w:rsidR="00436342" w:rsidRPr="00137192"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Kosovo</w:t>
            </w:r>
            <w:r w:rsidR="00137192">
              <w:rPr>
                <w:rStyle w:val="FootnoteReference"/>
                <w:rFonts w:asciiTheme="majorHAnsi" w:hAnsiTheme="majorHAnsi" w:cstheme="majorHAnsi"/>
              </w:rPr>
              <w:footnoteReference w:id="3"/>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4B8A9B9B" w14:textId="75B3E73F"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KOSTT</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1F807642" w14:textId="12F0E189"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2.117,60    </w:t>
            </w:r>
          </w:p>
        </w:tc>
      </w:tr>
      <w:tr w:rsidR="00436342" w:rsidRPr="001C626E" w14:paraId="489CAA21" w14:textId="77777777" w:rsidTr="00F07EAC">
        <w:trPr>
          <w:trHeight w:val="255"/>
        </w:trPr>
        <w:tc>
          <w:tcPr>
            <w:tcW w:w="21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BEFA05" w14:textId="0C327DA4"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Turkey</w:t>
            </w:r>
          </w:p>
        </w:tc>
        <w:tc>
          <w:tcPr>
            <w:tcW w:w="3804"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0C8A7FE4" w14:textId="11BB5AF8" w:rsidR="00436342" w:rsidRPr="00F07EAC" w:rsidRDefault="00436342" w:rsidP="00436342">
            <w:pPr>
              <w:spacing w:after="0" w:line="240" w:lineRule="auto"/>
              <w:jc w:val="left"/>
              <w:rPr>
                <w:rFonts w:asciiTheme="majorHAnsi" w:eastAsia="Times New Roman" w:hAnsiTheme="majorHAnsi" w:cstheme="majorHAnsi"/>
                <w:lang w:val="de-DE" w:eastAsia="de-DE"/>
              </w:rPr>
            </w:pPr>
            <w:r w:rsidRPr="00F07EAC">
              <w:rPr>
                <w:rFonts w:asciiTheme="majorHAnsi" w:hAnsiTheme="majorHAnsi" w:cstheme="majorHAnsi"/>
              </w:rPr>
              <w:t>TEIAS</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E2EFDA"/>
            <w:noWrap/>
          </w:tcPr>
          <w:p w14:paraId="3858FADC" w14:textId="3E08FB78" w:rsidR="00436342" w:rsidRPr="00F07EAC" w:rsidRDefault="00436342" w:rsidP="00436342">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hAnsiTheme="majorHAnsi" w:cstheme="majorHAnsi"/>
              </w:rPr>
              <w:t xml:space="preserve"> 8.242,46    </w:t>
            </w:r>
          </w:p>
        </w:tc>
      </w:tr>
      <w:tr w:rsidR="003B630A" w:rsidRPr="001C626E" w14:paraId="77B84C53" w14:textId="77777777" w:rsidTr="00F07EAC">
        <w:trPr>
          <w:trHeight w:val="310"/>
        </w:trPr>
        <w:tc>
          <w:tcPr>
            <w:tcW w:w="2145" w:type="dxa"/>
            <w:tcBorders>
              <w:top w:val="double" w:sz="6" w:space="0" w:color="BFBFBF" w:themeColor="background1" w:themeShade="BF"/>
              <w:left w:val="single" w:sz="4" w:space="0" w:color="BFBFBF" w:themeColor="background1" w:themeShade="BF"/>
              <w:bottom w:val="double" w:sz="6" w:space="0" w:color="BFBFBF" w:themeColor="background1" w:themeShade="BF"/>
              <w:right w:val="single" w:sz="4" w:space="0" w:color="BFBFBF" w:themeColor="background1" w:themeShade="BF"/>
            </w:tcBorders>
            <w:shd w:val="clear" w:color="auto" w:fill="FFFFFF" w:themeFill="background1"/>
            <w:noWrap/>
            <w:vAlign w:val="bottom"/>
            <w:hideMark/>
          </w:tcPr>
          <w:p w14:paraId="6A52EDD4" w14:textId="77777777" w:rsidR="003B630A" w:rsidRPr="00F07EAC" w:rsidRDefault="003B630A" w:rsidP="003B630A">
            <w:pPr>
              <w:spacing w:after="0" w:line="240" w:lineRule="auto"/>
              <w:jc w:val="left"/>
              <w:rPr>
                <w:rFonts w:asciiTheme="majorHAnsi" w:eastAsia="Times New Roman" w:hAnsiTheme="majorHAnsi" w:cstheme="majorHAnsi"/>
                <w:i/>
                <w:iCs/>
                <w:color w:val="000000"/>
                <w:lang w:val="de-DE" w:eastAsia="de-DE"/>
              </w:rPr>
            </w:pPr>
            <w:r w:rsidRPr="00F07EAC">
              <w:rPr>
                <w:rFonts w:asciiTheme="majorHAnsi" w:eastAsia="Times New Roman" w:hAnsiTheme="majorHAnsi" w:cstheme="majorHAnsi"/>
                <w:i/>
                <w:iCs/>
                <w:color w:val="000000"/>
                <w:lang w:val="de-DE" w:eastAsia="de-DE"/>
              </w:rPr>
              <w:t>Total</w:t>
            </w:r>
          </w:p>
        </w:tc>
        <w:tc>
          <w:tcPr>
            <w:tcW w:w="3804" w:type="dxa"/>
            <w:tcBorders>
              <w:top w:val="double" w:sz="6" w:space="0" w:color="BFBFBF" w:themeColor="background1" w:themeShade="BF"/>
              <w:left w:val="nil"/>
              <w:bottom w:val="double" w:sz="6" w:space="0" w:color="BFBFBF" w:themeColor="background1" w:themeShade="BF"/>
              <w:right w:val="single" w:sz="4" w:space="0" w:color="BFBFBF" w:themeColor="background1" w:themeShade="BF"/>
            </w:tcBorders>
            <w:shd w:val="clear" w:color="auto" w:fill="FFFFFF" w:themeFill="background1"/>
            <w:noWrap/>
            <w:vAlign w:val="bottom"/>
            <w:hideMark/>
          </w:tcPr>
          <w:p w14:paraId="0A7ABF0D" w14:textId="77777777" w:rsidR="003B630A" w:rsidRPr="00F07EAC" w:rsidRDefault="003B630A" w:rsidP="003B630A">
            <w:pPr>
              <w:spacing w:after="0" w:line="240" w:lineRule="auto"/>
              <w:jc w:val="left"/>
              <w:rPr>
                <w:rFonts w:asciiTheme="majorHAnsi" w:eastAsia="Times New Roman" w:hAnsiTheme="majorHAnsi" w:cstheme="majorHAnsi"/>
                <w:i/>
                <w:iCs/>
                <w:color w:val="000000"/>
                <w:lang w:val="de-DE" w:eastAsia="de-DE"/>
              </w:rPr>
            </w:pPr>
            <w:r w:rsidRPr="00F07EAC">
              <w:rPr>
                <w:rFonts w:asciiTheme="majorHAnsi" w:eastAsia="Times New Roman" w:hAnsiTheme="majorHAnsi" w:cstheme="majorHAnsi"/>
                <w:i/>
                <w:iCs/>
                <w:color w:val="000000"/>
                <w:lang w:val="de-DE" w:eastAsia="de-DE"/>
              </w:rPr>
              <w:t> </w:t>
            </w:r>
          </w:p>
        </w:tc>
        <w:tc>
          <w:tcPr>
            <w:tcW w:w="1843" w:type="dxa"/>
            <w:tcBorders>
              <w:top w:val="double" w:sz="6" w:space="0" w:color="BFBFBF" w:themeColor="background1" w:themeShade="BF"/>
              <w:left w:val="nil"/>
              <w:bottom w:val="double" w:sz="6" w:space="0" w:color="BFBFBF" w:themeColor="background1" w:themeShade="BF"/>
              <w:right w:val="single" w:sz="4" w:space="0" w:color="BFBFBF" w:themeColor="background1" w:themeShade="BF"/>
            </w:tcBorders>
            <w:shd w:val="clear" w:color="auto" w:fill="E2EFDA"/>
            <w:noWrap/>
            <w:vAlign w:val="bottom"/>
            <w:hideMark/>
          </w:tcPr>
          <w:p w14:paraId="220011D1" w14:textId="77777777" w:rsidR="003B630A" w:rsidRPr="00F07EAC" w:rsidRDefault="003B630A" w:rsidP="003B630A">
            <w:pPr>
              <w:spacing w:after="0" w:line="240" w:lineRule="auto"/>
              <w:jc w:val="left"/>
              <w:rPr>
                <w:rFonts w:asciiTheme="majorHAnsi" w:eastAsia="Times New Roman" w:hAnsiTheme="majorHAnsi" w:cstheme="majorHAnsi"/>
                <w:b/>
                <w:bCs/>
                <w:color w:val="000000"/>
                <w:lang w:val="de-DE" w:eastAsia="de-DE"/>
              </w:rPr>
            </w:pPr>
            <w:r w:rsidRPr="00F07EAC">
              <w:rPr>
                <w:rFonts w:asciiTheme="majorHAnsi" w:eastAsia="Times New Roman" w:hAnsiTheme="majorHAnsi" w:cstheme="majorHAnsi"/>
                <w:b/>
                <w:bCs/>
                <w:color w:val="000000"/>
                <w:lang w:val="de-DE" w:eastAsia="de-DE"/>
              </w:rPr>
              <w:t xml:space="preserve">               150.000,00    </w:t>
            </w:r>
          </w:p>
        </w:tc>
      </w:tr>
    </w:tbl>
    <w:p w14:paraId="1FE7B636" w14:textId="50866E9F" w:rsidR="003B630A" w:rsidRPr="00A263F1" w:rsidRDefault="003B630A" w:rsidP="00A263F1"/>
    <w:tbl>
      <w:tblPr>
        <w:tblW w:w="7760" w:type="dxa"/>
        <w:tblCellMar>
          <w:left w:w="70" w:type="dxa"/>
          <w:right w:w="70" w:type="dxa"/>
        </w:tblCellMar>
        <w:tblLook w:val="04A0" w:firstRow="1" w:lastRow="0" w:firstColumn="1" w:lastColumn="0" w:noHBand="0" w:noVBand="1"/>
      </w:tblPr>
      <w:tblGrid>
        <w:gridCol w:w="1600"/>
        <w:gridCol w:w="4349"/>
        <w:gridCol w:w="1811"/>
      </w:tblGrid>
      <w:tr w:rsidR="005E1966" w:rsidRPr="005E1966" w14:paraId="2DF461A3" w14:textId="77777777" w:rsidTr="007A34B3">
        <w:trPr>
          <w:trHeight w:val="377"/>
        </w:trPr>
        <w:tc>
          <w:tcPr>
            <w:tcW w:w="77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BBB59" w:themeFill="accent3"/>
          </w:tcPr>
          <w:p w14:paraId="600EAC49" w14:textId="77777777" w:rsidR="005E1966" w:rsidRPr="005E1966" w:rsidRDefault="005E1966" w:rsidP="007A34B3">
            <w:pPr>
              <w:spacing w:after="0" w:line="240" w:lineRule="auto"/>
              <w:jc w:val="center"/>
              <w:rPr>
                <w:rFonts w:asciiTheme="majorHAnsi" w:eastAsia="Times New Roman" w:hAnsiTheme="majorHAnsi" w:cstheme="majorHAnsi"/>
                <w:b/>
                <w:bCs/>
                <w:color w:val="000000"/>
                <w:lang w:val="de-DE" w:eastAsia="de-DE"/>
              </w:rPr>
            </w:pPr>
            <w:r w:rsidRPr="005E1966">
              <w:rPr>
                <w:rFonts w:asciiTheme="majorHAnsi" w:eastAsia="Times New Roman" w:hAnsiTheme="majorHAnsi" w:cstheme="majorHAnsi"/>
                <w:b/>
                <w:bCs/>
                <w:color w:val="000000" w:themeColor="text1"/>
                <w:lang w:val="de-DE" w:eastAsia="de-DE"/>
              </w:rPr>
              <w:t>Yearly costs for operation</w:t>
            </w:r>
          </w:p>
        </w:tc>
      </w:tr>
      <w:tr w:rsidR="005E1966" w:rsidRPr="005E1966" w14:paraId="67C72C5E" w14:textId="77777777" w:rsidTr="007A34B3">
        <w:trPr>
          <w:trHeight w:val="290"/>
        </w:trPr>
        <w:tc>
          <w:tcPr>
            <w:tcW w:w="1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527106" w14:textId="77777777" w:rsidR="005E1966" w:rsidRPr="005E1966" w:rsidRDefault="005E1966" w:rsidP="007A34B3">
            <w:pPr>
              <w:rPr>
                <w:rFonts w:asciiTheme="majorHAnsi" w:hAnsiTheme="majorHAnsi" w:cstheme="majorHAnsi"/>
                <w:b/>
              </w:rPr>
            </w:pPr>
            <w:r w:rsidRPr="005E1966">
              <w:rPr>
                <w:rFonts w:asciiTheme="majorHAnsi" w:hAnsiTheme="majorHAnsi" w:cstheme="majorHAnsi"/>
                <w:b/>
              </w:rPr>
              <w:t>Participants</w:t>
            </w:r>
          </w:p>
        </w:tc>
        <w:tc>
          <w:tcPr>
            <w:tcW w:w="4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CC6BF9B" w14:textId="77777777" w:rsidR="005E1966" w:rsidRPr="005E1966" w:rsidRDefault="005E1966" w:rsidP="007A34B3">
            <w:pPr>
              <w:rPr>
                <w:rFonts w:asciiTheme="majorHAnsi" w:hAnsiTheme="majorHAnsi" w:cstheme="majorHAnsi"/>
                <w:b/>
              </w:rPr>
            </w:pPr>
            <w:r w:rsidRPr="005E1966">
              <w:rPr>
                <w:rFonts w:asciiTheme="majorHAnsi" w:hAnsiTheme="majorHAnsi" w:cstheme="majorHAnsi"/>
                <w:b/>
              </w:rPr>
              <w:t>Participants</w:t>
            </w:r>
          </w:p>
        </w:tc>
        <w:tc>
          <w:tcPr>
            <w:tcW w:w="181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2EFDA"/>
            <w:vAlign w:val="bottom"/>
            <w:hideMark/>
          </w:tcPr>
          <w:p w14:paraId="4FB181A3" w14:textId="77777777" w:rsidR="005E1966" w:rsidRPr="005E1966" w:rsidRDefault="005E1966" w:rsidP="007A34B3">
            <w:pPr>
              <w:rPr>
                <w:rFonts w:asciiTheme="majorHAnsi" w:hAnsiTheme="majorHAnsi" w:cstheme="majorHAnsi"/>
                <w:b/>
                <w:bCs/>
              </w:rPr>
            </w:pPr>
            <w:r w:rsidRPr="005E1966">
              <w:rPr>
                <w:rFonts w:asciiTheme="majorHAnsi" w:hAnsiTheme="majorHAnsi" w:cstheme="majorHAnsi"/>
                <w:b/>
                <w:bCs/>
              </w:rPr>
              <w:t>Costs (EUR) excl. VAT</w:t>
            </w:r>
          </w:p>
        </w:tc>
      </w:tr>
      <w:tr w:rsidR="005E1966" w:rsidRPr="005E1966" w14:paraId="31E7C216" w14:textId="77777777" w:rsidTr="007A34B3">
        <w:trPr>
          <w:trHeight w:val="300"/>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EFE1067"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Albania</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3C81BBB"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OST</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3EDCA662"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1.129,38    </w:t>
            </w:r>
          </w:p>
        </w:tc>
      </w:tr>
      <w:tr w:rsidR="005E1966" w:rsidRPr="005E1966" w14:paraId="03D9E4CB"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30DA095"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Austria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CD63EC2" w14:textId="77777777" w:rsidR="005E1966" w:rsidRPr="005E1966" w:rsidRDefault="005E1966" w:rsidP="007A34B3">
            <w:pPr>
              <w:spacing w:after="0" w:line="240" w:lineRule="auto"/>
              <w:jc w:val="left"/>
              <w:rPr>
                <w:rFonts w:asciiTheme="majorHAnsi" w:eastAsia="Times New Roman" w:hAnsiTheme="majorHAnsi" w:cstheme="majorHAnsi"/>
                <w:lang w:val="en-US" w:eastAsia="de-DE"/>
              </w:rPr>
            </w:pPr>
            <w:r w:rsidRPr="005E1966">
              <w:rPr>
                <w:rFonts w:asciiTheme="majorHAnsi" w:hAnsiTheme="majorHAnsi" w:cstheme="majorHAnsi"/>
              </w:rPr>
              <w:t xml:space="preserve">APG - Austrian Power Grid AG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2326F05"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2.138,29    </w:t>
            </w:r>
          </w:p>
        </w:tc>
      </w:tr>
      <w:tr w:rsidR="005E1966" w:rsidRPr="005E1966" w14:paraId="647DC61C"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92AE848"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Belgium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E1DF642" w14:textId="77777777" w:rsidR="005E1966" w:rsidRPr="005E1966" w:rsidRDefault="005E1966" w:rsidP="007A34B3">
            <w:pPr>
              <w:spacing w:after="0" w:line="240" w:lineRule="auto"/>
              <w:jc w:val="left"/>
              <w:rPr>
                <w:rFonts w:asciiTheme="majorHAnsi" w:eastAsia="Times New Roman" w:hAnsiTheme="majorHAnsi" w:cstheme="majorHAnsi"/>
                <w:lang w:val="en-US" w:eastAsia="de-DE"/>
              </w:rPr>
            </w:pPr>
            <w:r w:rsidRPr="005E1966">
              <w:rPr>
                <w:rFonts w:asciiTheme="majorHAnsi" w:hAnsiTheme="majorHAnsi" w:cstheme="majorHAnsi"/>
              </w:rPr>
              <w:t xml:space="preserve">Elia - Elia System Operator SA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3E7D3597"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2.461,70    </w:t>
            </w:r>
          </w:p>
        </w:tc>
      </w:tr>
      <w:tr w:rsidR="005E1966" w:rsidRPr="005E1966" w14:paraId="5A141962"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825FB5C"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Bosnia</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428D46E"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Nezavisni Operator Sistema</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D6A8243"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1.220,69    </w:t>
            </w:r>
          </w:p>
        </w:tc>
      </w:tr>
      <w:tr w:rsidR="005E1966" w:rsidRPr="005E1966" w14:paraId="476F9CA3"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01EA4A9"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Bulgaria</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29FBBFD"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Elektroenergien Sistemen Operator</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4FBB587"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1.553,92    </w:t>
            </w:r>
          </w:p>
        </w:tc>
      </w:tr>
      <w:tr w:rsidR="005E1966" w:rsidRPr="005E1966" w14:paraId="06ED1C4C"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FD8F395"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Croatia</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10550DA" w14:textId="77777777" w:rsidR="005E1966" w:rsidRPr="005E1966" w:rsidRDefault="005E1966" w:rsidP="007A34B3">
            <w:pPr>
              <w:spacing w:after="0" w:line="240" w:lineRule="auto"/>
              <w:jc w:val="left"/>
              <w:rPr>
                <w:rFonts w:asciiTheme="majorHAnsi" w:eastAsia="Times New Roman" w:hAnsiTheme="majorHAnsi" w:cstheme="majorHAnsi"/>
                <w:lang w:val="en-US" w:eastAsia="de-DE"/>
              </w:rPr>
            </w:pPr>
            <w:r w:rsidRPr="005E1966">
              <w:rPr>
                <w:rFonts w:asciiTheme="majorHAnsi" w:hAnsiTheme="majorHAnsi" w:cstheme="majorHAnsi"/>
              </w:rPr>
              <w:t>HOPS - Croatian Transmission System</w:t>
            </w:r>
            <w:r w:rsidRPr="005E1966">
              <w:rPr>
                <w:rFonts w:asciiTheme="majorHAnsi" w:hAnsiTheme="majorHAnsi" w:cstheme="majorHAnsi"/>
              </w:rPr>
              <w:br/>
              <w:t>Operator Ltd</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3FB9E1A"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1.302,87    </w:t>
            </w:r>
          </w:p>
        </w:tc>
      </w:tr>
      <w:tr w:rsidR="005E1966" w:rsidRPr="005E1966" w14:paraId="3C2B2A04"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16342B6"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Czech Republic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803154F"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ČEPS - ČEPS, a.s.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95565B1"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2.040,32    </w:t>
            </w:r>
          </w:p>
        </w:tc>
      </w:tr>
      <w:tr w:rsidR="005E1966" w:rsidRPr="005E1966" w14:paraId="427A1798"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EF7B8D0"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Denmark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079E9D7" w14:textId="77777777" w:rsidR="005E1966" w:rsidRPr="005E1966" w:rsidRDefault="005E1966" w:rsidP="007A34B3">
            <w:pPr>
              <w:spacing w:after="0" w:line="240" w:lineRule="auto"/>
              <w:jc w:val="left"/>
              <w:rPr>
                <w:rFonts w:asciiTheme="majorHAnsi" w:eastAsia="Times New Roman" w:hAnsiTheme="majorHAnsi" w:cstheme="majorHAnsi"/>
                <w:lang w:val="en-US" w:eastAsia="de-DE"/>
              </w:rPr>
            </w:pPr>
            <w:r w:rsidRPr="005E1966">
              <w:rPr>
                <w:rFonts w:asciiTheme="majorHAnsi" w:hAnsiTheme="majorHAnsi" w:cstheme="majorHAnsi"/>
              </w:rPr>
              <w:t xml:space="preserve">Energinet.dk IPC - Energinet.dk Independent Power Entreprise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400CB49F"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      </w:t>
            </w:r>
          </w:p>
        </w:tc>
      </w:tr>
      <w:tr w:rsidR="005E1966" w:rsidRPr="005E1966" w14:paraId="0594F0F3"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0E80845"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France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092280B" w14:textId="77777777" w:rsidR="005E1966" w:rsidRPr="00C151BB" w:rsidRDefault="005E1966" w:rsidP="007A34B3">
            <w:pPr>
              <w:spacing w:after="0" w:line="240" w:lineRule="auto"/>
              <w:jc w:val="left"/>
              <w:rPr>
                <w:rFonts w:asciiTheme="majorHAnsi" w:eastAsia="Times New Roman" w:hAnsiTheme="majorHAnsi" w:cstheme="majorHAnsi"/>
                <w:lang w:val="fr-BE" w:eastAsia="de-DE"/>
              </w:rPr>
            </w:pPr>
            <w:r w:rsidRPr="00C151BB">
              <w:rPr>
                <w:rFonts w:asciiTheme="majorHAnsi" w:hAnsiTheme="majorHAnsi" w:cstheme="majorHAnsi"/>
                <w:lang w:val="fr-BE"/>
              </w:rPr>
              <w:t xml:space="preserve">RTE - Réseau de Transport d'electricité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4216F3D4"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C151BB">
              <w:rPr>
                <w:rFonts w:asciiTheme="majorHAnsi" w:hAnsiTheme="majorHAnsi" w:cstheme="majorHAnsi"/>
                <w:lang w:val="fr-BE"/>
              </w:rPr>
              <w:t xml:space="preserve"> </w:t>
            </w:r>
            <w:r w:rsidRPr="005E1966">
              <w:rPr>
                <w:rFonts w:asciiTheme="majorHAnsi" w:hAnsiTheme="majorHAnsi" w:cstheme="majorHAnsi"/>
              </w:rPr>
              <w:t xml:space="preserve">8.677,13    </w:t>
            </w:r>
          </w:p>
        </w:tc>
      </w:tr>
      <w:tr w:rsidR="005E1966" w:rsidRPr="005E1966" w14:paraId="1D3B961B"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DEC4117"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Germany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B89ECA5"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Amprion - Amprion GmbH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65482EE3"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4.158,58    </w:t>
            </w:r>
          </w:p>
        </w:tc>
      </w:tr>
      <w:tr w:rsidR="005E1966" w:rsidRPr="005E1966" w14:paraId="1677F53C"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1FA42E8"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Germany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8E5817E"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TenneT GER – Tennet TSO GmbH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7A595FE"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4.053,82    </w:t>
            </w:r>
          </w:p>
        </w:tc>
      </w:tr>
      <w:tr w:rsidR="005E1966" w:rsidRPr="005E1966" w14:paraId="5F7864A0"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07CEF9"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Germany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D9BE792"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TransnetBW -TransnetBW GmbH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10F9FF5"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1.874,44    </w:t>
            </w:r>
          </w:p>
        </w:tc>
      </w:tr>
      <w:tr w:rsidR="005E1966" w:rsidRPr="005E1966" w14:paraId="6F091CB2"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8B93A2C"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Germany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4F980F9"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50Hertz - 50Hertz Transmission GmbH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2D5CC3D"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2.535,71    </w:t>
            </w:r>
          </w:p>
        </w:tc>
      </w:tr>
      <w:tr w:rsidR="005E1966" w:rsidRPr="005E1966" w14:paraId="7B63A5C2"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B9EBF04"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Greece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412DB17" w14:textId="77777777" w:rsidR="005E1966" w:rsidRPr="005E1966" w:rsidRDefault="005E1966" w:rsidP="007A34B3">
            <w:pPr>
              <w:spacing w:after="0" w:line="240" w:lineRule="auto"/>
              <w:jc w:val="left"/>
              <w:rPr>
                <w:rFonts w:asciiTheme="majorHAnsi" w:eastAsia="Times New Roman" w:hAnsiTheme="majorHAnsi" w:cstheme="majorHAnsi"/>
                <w:lang w:val="en-US" w:eastAsia="de-DE"/>
              </w:rPr>
            </w:pPr>
            <w:r w:rsidRPr="005E1966">
              <w:rPr>
                <w:rFonts w:asciiTheme="majorHAnsi" w:hAnsiTheme="majorHAnsi" w:cstheme="majorHAnsi"/>
              </w:rPr>
              <w:t xml:space="preserve">IPTO SA - Independent Power Transmission Operator S.A.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26BC4A5"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1.892,40    </w:t>
            </w:r>
          </w:p>
        </w:tc>
      </w:tr>
      <w:tr w:rsidR="005E1966" w:rsidRPr="005E1966" w14:paraId="0AA555C8"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8DB100C"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Hungary</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7035D9F"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C151BB">
              <w:rPr>
                <w:rFonts w:asciiTheme="majorHAnsi" w:hAnsiTheme="majorHAnsi" w:cstheme="majorHAnsi"/>
                <w:lang w:val="de-DE"/>
              </w:rPr>
              <w:t>MAVIR ZRt. - MAVIR Magyar Villamosenergia-ipari Átviteli Rendszerirányító Zártkörűen Működő Részvénytársaság</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672B7E9E"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C151BB">
              <w:rPr>
                <w:rFonts w:asciiTheme="majorHAnsi" w:hAnsiTheme="majorHAnsi" w:cstheme="majorHAnsi"/>
                <w:lang w:val="de-DE"/>
              </w:rPr>
              <w:t xml:space="preserve"> </w:t>
            </w:r>
            <w:r w:rsidRPr="005E1966">
              <w:rPr>
                <w:rFonts w:asciiTheme="majorHAnsi" w:hAnsiTheme="majorHAnsi" w:cstheme="majorHAnsi"/>
              </w:rPr>
              <w:t xml:space="preserve">1.712,81    </w:t>
            </w:r>
          </w:p>
        </w:tc>
      </w:tr>
      <w:tr w:rsidR="005E1966" w:rsidRPr="005E1966" w14:paraId="451BD090"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3D8A018"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Italy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882624E"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C151BB">
              <w:rPr>
                <w:rFonts w:asciiTheme="majorHAnsi" w:hAnsiTheme="majorHAnsi" w:cstheme="majorHAnsi"/>
                <w:lang w:val="fr-BE"/>
              </w:rPr>
              <w:t xml:space="preserve">Terna - Terna, Rete Elettrica Nazionale SpA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D021CE9"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C151BB">
              <w:rPr>
                <w:rFonts w:asciiTheme="majorHAnsi" w:hAnsiTheme="majorHAnsi" w:cstheme="majorHAnsi"/>
                <w:lang w:val="fr-BE"/>
              </w:rPr>
              <w:t xml:space="preserve"> </w:t>
            </w:r>
            <w:r w:rsidRPr="005E1966">
              <w:rPr>
                <w:rFonts w:asciiTheme="majorHAnsi" w:hAnsiTheme="majorHAnsi" w:cstheme="majorHAnsi"/>
              </w:rPr>
              <w:t xml:space="preserve">6.208,11    </w:t>
            </w:r>
          </w:p>
        </w:tc>
      </w:tr>
      <w:tr w:rsidR="005E1966" w:rsidRPr="005E1966" w14:paraId="2FBF24BE"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71D0DCF"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Luxembourgh</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0A7B4D0"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Creos</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CD057A6"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      </w:t>
            </w:r>
          </w:p>
        </w:tc>
      </w:tr>
      <w:tr w:rsidR="005E1966" w:rsidRPr="005E1966" w14:paraId="0C0B3C8A"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2F151A8"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Macedonia</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ED6828F"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MEPSO</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565B6A56"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1.124,71    </w:t>
            </w:r>
          </w:p>
        </w:tc>
      </w:tr>
      <w:tr w:rsidR="005E1966" w:rsidRPr="005E1966" w14:paraId="7FA7A771"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61E1EB3"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Montenegro</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C8C8514"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CGES</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65DA381D"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1.067,23    </w:t>
            </w:r>
          </w:p>
        </w:tc>
      </w:tr>
      <w:tr w:rsidR="005E1966" w:rsidRPr="005E1966" w14:paraId="251C2607"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DCFA45E"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Netherlands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1E18FFB"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TenneT TSO - TenneT TSO B.V.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455D3DE4"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2.968,82    </w:t>
            </w:r>
          </w:p>
        </w:tc>
      </w:tr>
      <w:tr w:rsidR="005E1966" w:rsidRPr="005E1966" w14:paraId="2603C2EB"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3EBAEFD"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Poland</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3A4EE96"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PSE - PSE S.A.</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961BFB1"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3.607,80    </w:t>
            </w:r>
          </w:p>
        </w:tc>
      </w:tr>
      <w:tr w:rsidR="005E1966" w:rsidRPr="005E1966" w14:paraId="6F8D54CC"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9596E23"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Portugal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6E31A77"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F456C5">
              <w:rPr>
                <w:rFonts w:asciiTheme="majorHAnsi" w:hAnsiTheme="majorHAnsi" w:cstheme="majorHAnsi"/>
                <w:lang w:val="es-CR"/>
              </w:rPr>
              <w:t xml:space="preserve">REN - Rede Eléctrica Nacional, S.A.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17B3AD9"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F456C5">
              <w:rPr>
                <w:rFonts w:asciiTheme="majorHAnsi" w:hAnsiTheme="majorHAnsi" w:cstheme="majorHAnsi"/>
                <w:lang w:val="es-CR"/>
              </w:rPr>
              <w:t xml:space="preserve"> </w:t>
            </w:r>
            <w:r w:rsidRPr="005E1966">
              <w:rPr>
                <w:rFonts w:asciiTheme="majorHAnsi" w:hAnsiTheme="majorHAnsi" w:cstheme="majorHAnsi"/>
              </w:rPr>
              <w:t xml:space="preserve">1.854,79    </w:t>
            </w:r>
          </w:p>
        </w:tc>
      </w:tr>
      <w:tr w:rsidR="005E1966" w:rsidRPr="005E1966" w14:paraId="5B453D04"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BFAF845"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Romania</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6132C23"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Transelectrica</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890EF9E"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1.869,85    </w:t>
            </w:r>
          </w:p>
        </w:tc>
      </w:tr>
      <w:tr w:rsidR="005E1966" w:rsidRPr="005E1966" w14:paraId="10596B98"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A429A46"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Serbia</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8251E69"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EMS AD</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030C77B7"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1.519,68    </w:t>
            </w:r>
          </w:p>
        </w:tc>
      </w:tr>
      <w:tr w:rsidR="005E1966" w:rsidRPr="005E1966" w14:paraId="3BEBE425"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1815DF8"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Slovak Republic</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AFEC2F7"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C151BB">
              <w:rPr>
                <w:rFonts w:asciiTheme="majorHAnsi" w:hAnsiTheme="majorHAnsi" w:cstheme="majorHAnsi"/>
                <w:lang w:val="de-DE"/>
              </w:rPr>
              <w:t>SEPS - Slovenská elektrizačná prenosová sústava, a.s.</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4A8A6FB2"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C151BB">
              <w:rPr>
                <w:rFonts w:asciiTheme="majorHAnsi" w:hAnsiTheme="majorHAnsi" w:cstheme="majorHAnsi"/>
                <w:lang w:val="de-DE"/>
              </w:rPr>
              <w:t xml:space="preserve"> </w:t>
            </w:r>
            <w:r w:rsidRPr="005E1966">
              <w:rPr>
                <w:rFonts w:asciiTheme="majorHAnsi" w:hAnsiTheme="majorHAnsi" w:cstheme="majorHAnsi"/>
              </w:rPr>
              <w:t xml:space="preserve">1.478,12    </w:t>
            </w:r>
          </w:p>
        </w:tc>
      </w:tr>
      <w:tr w:rsidR="005E1966" w:rsidRPr="005E1966" w14:paraId="263B3E90"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39C292B"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Slovenia</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E44CA1" w14:textId="77777777" w:rsidR="005E1966" w:rsidRPr="00F456C5" w:rsidRDefault="005E1966" w:rsidP="007A34B3">
            <w:pPr>
              <w:spacing w:after="0" w:line="240" w:lineRule="auto"/>
              <w:jc w:val="left"/>
              <w:rPr>
                <w:rFonts w:asciiTheme="majorHAnsi" w:eastAsia="Times New Roman" w:hAnsiTheme="majorHAnsi" w:cstheme="majorHAnsi"/>
                <w:lang w:val="es-CR" w:eastAsia="de-DE"/>
              </w:rPr>
            </w:pPr>
            <w:r w:rsidRPr="00F456C5">
              <w:rPr>
                <w:rFonts w:asciiTheme="majorHAnsi" w:hAnsiTheme="majorHAnsi" w:cstheme="majorHAnsi"/>
                <w:lang w:val="es-CR"/>
              </w:rPr>
              <w:t>ELES - ELES, d.o.o., sistemski operater prenosnega elektroenergetskega omrežja</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695CBFE9"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F456C5">
              <w:rPr>
                <w:rFonts w:asciiTheme="majorHAnsi" w:hAnsiTheme="majorHAnsi" w:cstheme="majorHAnsi"/>
                <w:lang w:val="es-CR"/>
              </w:rPr>
              <w:t xml:space="preserve"> </w:t>
            </w:r>
            <w:r w:rsidRPr="005E1966">
              <w:rPr>
                <w:rFonts w:asciiTheme="majorHAnsi" w:hAnsiTheme="majorHAnsi" w:cstheme="majorHAnsi"/>
              </w:rPr>
              <w:t xml:space="preserve">1.254,77    </w:t>
            </w:r>
          </w:p>
        </w:tc>
      </w:tr>
      <w:tr w:rsidR="005E1966" w:rsidRPr="005E1966" w14:paraId="6A858C95"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9DBE9E3"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Spain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14A87F8F"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F456C5">
              <w:rPr>
                <w:rFonts w:asciiTheme="majorHAnsi" w:hAnsiTheme="majorHAnsi" w:cstheme="majorHAnsi"/>
                <w:lang w:val="es-CR"/>
              </w:rPr>
              <w:t xml:space="preserve">REE - Red Eléctrica de EspaÑa S.A.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1F325F7A"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F456C5">
              <w:rPr>
                <w:rFonts w:asciiTheme="majorHAnsi" w:hAnsiTheme="majorHAnsi" w:cstheme="majorHAnsi"/>
                <w:lang w:val="es-CR"/>
              </w:rPr>
              <w:t xml:space="preserve"> </w:t>
            </w:r>
            <w:r w:rsidRPr="005E1966">
              <w:rPr>
                <w:rFonts w:asciiTheme="majorHAnsi" w:hAnsiTheme="majorHAnsi" w:cstheme="majorHAnsi"/>
              </w:rPr>
              <w:t xml:space="preserve">5.221,76    </w:t>
            </w:r>
          </w:p>
        </w:tc>
      </w:tr>
      <w:tr w:rsidR="005E1966" w:rsidRPr="005E1966" w14:paraId="706FB323"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06F11FD" w14:textId="7F0A40C2"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Switzerland</w:t>
            </w:r>
            <w:r w:rsidRPr="005E1966">
              <w:rPr>
                <w:rFonts w:asciiTheme="majorHAnsi" w:hAnsiTheme="majorHAnsi" w:cstheme="majorHAnsi"/>
                <w:vertAlign w:val="superscript"/>
              </w:rPr>
              <w:t xml:space="preserve"> </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011D2ED"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 xml:space="preserve">Swissgrid - Swissgrid AG </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26D5BAE5"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2.004,44    </w:t>
            </w:r>
          </w:p>
        </w:tc>
      </w:tr>
      <w:tr w:rsidR="005E1966" w:rsidRPr="005E1966" w14:paraId="3739A174"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8383EA7"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Ukraine</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0C846BC"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Ukrenergo</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4E4E91BB"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3.619,53    </w:t>
            </w:r>
          </w:p>
        </w:tc>
      </w:tr>
      <w:tr w:rsidR="005E1966" w:rsidRPr="005E1966" w14:paraId="0F1C1831"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F3B5E9" w14:textId="6BCF5421"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Kosovo</w:t>
            </w:r>
            <w:r w:rsidR="002E2691">
              <w:rPr>
                <w:rStyle w:val="FootnoteReference"/>
                <w:rFonts w:asciiTheme="majorHAnsi" w:hAnsiTheme="majorHAnsi" w:cstheme="majorHAnsi"/>
              </w:rPr>
              <w:footnoteReference w:id="4"/>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78966C28"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KOSTT</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hideMark/>
          </w:tcPr>
          <w:p w14:paraId="3DC0236E"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1.097,03    </w:t>
            </w:r>
          </w:p>
        </w:tc>
      </w:tr>
      <w:tr w:rsidR="005E1966" w:rsidRPr="005E1966" w14:paraId="67011D25" w14:textId="77777777" w:rsidTr="007A34B3">
        <w:trPr>
          <w:trHeight w:val="255"/>
        </w:trPr>
        <w:tc>
          <w:tcPr>
            <w:tcW w:w="16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D8D27D"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Turkey</w:t>
            </w:r>
          </w:p>
        </w:tc>
        <w:tc>
          <w:tcPr>
            <w:tcW w:w="4349"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700FD236" w14:textId="77777777" w:rsidR="005E1966" w:rsidRPr="005E1966" w:rsidRDefault="005E1966" w:rsidP="007A34B3">
            <w:pPr>
              <w:spacing w:after="0" w:line="240" w:lineRule="auto"/>
              <w:jc w:val="left"/>
              <w:rPr>
                <w:rFonts w:asciiTheme="majorHAnsi" w:eastAsia="Times New Roman" w:hAnsiTheme="majorHAnsi" w:cstheme="majorHAnsi"/>
                <w:lang w:val="de-DE" w:eastAsia="de-DE"/>
              </w:rPr>
            </w:pPr>
            <w:r w:rsidRPr="005E1966">
              <w:rPr>
                <w:rFonts w:asciiTheme="majorHAnsi" w:hAnsiTheme="majorHAnsi" w:cstheme="majorHAnsi"/>
              </w:rPr>
              <w:t>TEIAS</w:t>
            </w:r>
          </w:p>
        </w:tc>
        <w:tc>
          <w:tcPr>
            <w:tcW w:w="1811" w:type="dxa"/>
            <w:tcBorders>
              <w:top w:val="nil"/>
              <w:left w:val="nil"/>
              <w:bottom w:val="single" w:sz="4" w:space="0" w:color="BFBFBF" w:themeColor="background1" w:themeShade="BF"/>
              <w:right w:val="single" w:sz="4" w:space="0" w:color="BFBFBF" w:themeColor="background1" w:themeShade="BF"/>
            </w:tcBorders>
            <w:shd w:val="clear" w:color="auto" w:fill="E2EFDA"/>
            <w:noWrap/>
          </w:tcPr>
          <w:p w14:paraId="2A00426D"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hAnsiTheme="majorHAnsi" w:cstheme="majorHAnsi"/>
              </w:rPr>
              <w:t xml:space="preserve"> 4.201,28    </w:t>
            </w:r>
          </w:p>
        </w:tc>
      </w:tr>
      <w:tr w:rsidR="005E1966" w:rsidRPr="005E1966" w14:paraId="56E93A9E" w14:textId="77777777" w:rsidTr="007A34B3">
        <w:trPr>
          <w:trHeight w:val="310"/>
        </w:trPr>
        <w:tc>
          <w:tcPr>
            <w:tcW w:w="1600" w:type="dxa"/>
            <w:tcBorders>
              <w:top w:val="double" w:sz="6" w:space="0" w:color="BFBFBF" w:themeColor="background1" w:themeShade="BF"/>
              <w:left w:val="single" w:sz="4" w:space="0" w:color="BFBFBF" w:themeColor="background1" w:themeShade="BF"/>
              <w:bottom w:val="double" w:sz="6" w:space="0" w:color="BFBFBF" w:themeColor="background1" w:themeShade="BF"/>
              <w:right w:val="single" w:sz="4" w:space="0" w:color="BFBFBF" w:themeColor="background1" w:themeShade="BF"/>
            </w:tcBorders>
            <w:shd w:val="clear" w:color="auto" w:fill="FFFFFF" w:themeFill="background1"/>
            <w:noWrap/>
            <w:vAlign w:val="bottom"/>
            <w:hideMark/>
          </w:tcPr>
          <w:p w14:paraId="30C81492" w14:textId="77777777" w:rsidR="005E1966" w:rsidRPr="005E1966" w:rsidRDefault="005E1966" w:rsidP="007A34B3">
            <w:pPr>
              <w:spacing w:after="0" w:line="240" w:lineRule="auto"/>
              <w:jc w:val="left"/>
              <w:rPr>
                <w:rFonts w:asciiTheme="majorHAnsi" w:eastAsia="Times New Roman" w:hAnsiTheme="majorHAnsi" w:cstheme="majorHAnsi"/>
                <w:i/>
                <w:iCs/>
                <w:color w:val="000000"/>
                <w:lang w:val="de-DE" w:eastAsia="de-DE"/>
              </w:rPr>
            </w:pPr>
            <w:r w:rsidRPr="005E1966">
              <w:rPr>
                <w:rFonts w:asciiTheme="majorHAnsi" w:eastAsia="Times New Roman" w:hAnsiTheme="majorHAnsi" w:cstheme="majorHAnsi"/>
                <w:i/>
                <w:iCs/>
                <w:color w:val="000000"/>
                <w:lang w:val="de-DE" w:eastAsia="de-DE"/>
              </w:rPr>
              <w:t>Total</w:t>
            </w:r>
          </w:p>
        </w:tc>
        <w:tc>
          <w:tcPr>
            <w:tcW w:w="4349" w:type="dxa"/>
            <w:tcBorders>
              <w:top w:val="double" w:sz="6" w:space="0" w:color="BFBFBF" w:themeColor="background1" w:themeShade="BF"/>
              <w:left w:val="nil"/>
              <w:bottom w:val="double" w:sz="6" w:space="0" w:color="BFBFBF" w:themeColor="background1" w:themeShade="BF"/>
              <w:right w:val="single" w:sz="4" w:space="0" w:color="BFBFBF" w:themeColor="background1" w:themeShade="BF"/>
            </w:tcBorders>
            <w:shd w:val="clear" w:color="auto" w:fill="FFFFFF" w:themeFill="background1"/>
            <w:noWrap/>
            <w:vAlign w:val="bottom"/>
            <w:hideMark/>
          </w:tcPr>
          <w:p w14:paraId="06C9EFBF" w14:textId="77777777" w:rsidR="005E1966" w:rsidRPr="005E1966" w:rsidRDefault="005E1966" w:rsidP="007A34B3">
            <w:pPr>
              <w:spacing w:after="0" w:line="240" w:lineRule="auto"/>
              <w:jc w:val="left"/>
              <w:rPr>
                <w:rFonts w:asciiTheme="majorHAnsi" w:eastAsia="Times New Roman" w:hAnsiTheme="majorHAnsi" w:cstheme="majorHAnsi"/>
                <w:i/>
                <w:iCs/>
                <w:color w:val="000000"/>
                <w:lang w:val="de-DE" w:eastAsia="de-DE"/>
              </w:rPr>
            </w:pPr>
            <w:r w:rsidRPr="005E1966">
              <w:rPr>
                <w:rFonts w:asciiTheme="majorHAnsi" w:eastAsia="Times New Roman" w:hAnsiTheme="majorHAnsi" w:cstheme="majorHAnsi"/>
                <w:i/>
                <w:iCs/>
                <w:color w:val="000000"/>
                <w:lang w:val="de-DE" w:eastAsia="de-DE"/>
              </w:rPr>
              <w:t> </w:t>
            </w:r>
          </w:p>
        </w:tc>
        <w:tc>
          <w:tcPr>
            <w:tcW w:w="1811" w:type="dxa"/>
            <w:tcBorders>
              <w:top w:val="double" w:sz="6" w:space="0" w:color="BFBFBF" w:themeColor="background1" w:themeShade="BF"/>
              <w:left w:val="nil"/>
              <w:bottom w:val="double" w:sz="6" w:space="0" w:color="BFBFBF" w:themeColor="background1" w:themeShade="BF"/>
              <w:right w:val="single" w:sz="4" w:space="0" w:color="BFBFBF" w:themeColor="background1" w:themeShade="BF"/>
            </w:tcBorders>
            <w:shd w:val="clear" w:color="auto" w:fill="E2EFDA"/>
            <w:noWrap/>
            <w:vAlign w:val="bottom"/>
            <w:hideMark/>
          </w:tcPr>
          <w:p w14:paraId="0BFF298A" w14:textId="77777777" w:rsidR="005E1966" w:rsidRPr="005E1966" w:rsidRDefault="005E1966" w:rsidP="007A34B3">
            <w:pPr>
              <w:spacing w:after="0" w:line="240" w:lineRule="auto"/>
              <w:jc w:val="left"/>
              <w:rPr>
                <w:rFonts w:asciiTheme="majorHAnsi" w:eastAsia="Times New Roman" w:hAnsiTheme="majorHAnsi" w:cstheme="majorHAnsi"/>
                <w:b/>
                <w:bCs/>
                <w:color w:val="000000"/>
                <w:lang w:val="de-DE" w:eastAsia="de-DE"/>
              </w:rPr>
            </w:pPr>
            <w:r w:rsidRPr="005E1966">
              <w:rPr>
                <w:rFonts w:asciiTheme="majorHAnsi" w:eastAsia="Times New Roman" w:hAnsiTheme="majorHAnsi" w:cstheme="majorHAnsi"/>
                <w:b/>
                <w:bCs/>
                <w:color w:val="000000"/>
                <w:lang w:val="de-DE" w:eastAsia="de-DE"/>
              </w:rPr>
              <w:t xml:space="preserve">                 75.850,00    </w:t>
            </w:r>
          </w:p>
        </w:tc>
      </w:tr>
    </w:tbl>
    <w:p w14:paraId="34EE44F5" w14:textId="77777777" w:rsidR="005E1966" w:rsidRDefault="005E1966" w:rsidP="0003023A">
      <w:pPr>
        <w:rPr>
          <w:rFonts w:ascii="Arial" w:eastAsia="Times New Roman" w:hAnsi="Arial" w:cs="Arial"/>
          <w:b/>
          <w:bCs/>
          <w:color w:val="000000" w:themeColor="text1"/>
          <w:lang w:val="de-DE" w:eastAsia="de-DE"/>
        </w:rPr>
      </w:pPr>
    </w:p>
    <w:p w14:paraId="2BDA2F73" w14:textId="598FB3F9" w:rsidR="005E1966" w:rsidRDefault="005E1966" w:rsidP="005E1966">
      <w:r>
        <w:t xml:space="preserve">The </w:t>
      </w:r>
      <w:r w:rsidR="002E2691">
        <w:t>Coordination</w:t>
      </w:r>
      <w:r>
        <w:t xml:space="preserve"> Centres will send invoices to the TSOs after the services for each year have been performed. The services provided by the </w:t>
      </w:r>
      <w:r w:rsidR="002E2691">
        <w:t>Coordination</w:t>
      </w:r>
      <w:r>
        <w:t xml:space="preserve"> Centres are considered to start 01/06/2021, corresponding to the go-live of the financial settlement. As such:</w:t>
      </w:r>
    </w:p>
    <w:p w14:paraId="335F8082" w14:textId="78F8363D" w:rsidR="00D4536C" w:rsidRDefault="005E1966" w:rsidP="0003023A">
      <w:r>
        <w:t xml:space="preserve">- </w:t>
      </w:r>
      <w:r w:rsidR="0003023A">
        <w:t xml:space="preserve">at the latest on 31/01/2022 the </w:t>
      </w:r>
      <w:r w:rsidR="002E2691">
        <w:t>Coordination</w:t>
      </w:r>
      <w:r w:rsidR="0003023A">
        <w:t xml:space="preserve"> Centres will send the invoices for the one-time costs for implementation, and 7/12 share of the yearly operational costs, corresponding to the services until 31/12/2021.</w:t>
      </w:r>
    </w:p>
    <w:p w14:paraId="66E283E5" w14:textId="6545B9BE" w:rsidR="0003023A" w:rsidRDefault="0003023A" w:rsidP="0003023A">
      <w:r>
        <w:t xml:space="preserve">- at the latest on 31/01 of each year starting 2023, the </w:t>
      </w:r>
      <w:r w:rsidR="002E2691">
        <w:t>Coordination</w:t>
      </w:r>
      <w:r>
        <w:t xml:space="preserve"> Centres will send the invoices for the yearly operational costs, corresponding to the services from 01/12 to the 31/12 of the </w:t>
      </w:r>
      <w:r w:rsidR="00686952">
        <w:t>previous</w:t>
      </w:r>
      <w:r>
        <w:t xml:space="preserve"> year (starting 2022).</w:t>
      </w:r>
    </w:p>
    <w:p w14:paraId="71D1C361" w14:textId="3EF3AA54" w:rsidR="00D4536C" w:rsidRDefault="00D4536C" w:rsidP="0003023A">
      <w:r>
        <w:t xml:space="preserve">The </w:t>
      </w:r>
      <w:r w:rsidR="002E2691">
        <w:t>Coordination</w:t>
      </w:r>
      <w:r>
        <w:t xml:space="preserve"> Centres shall each sent separate invoices to the</w:t>
      </w:r>
      <w:r w:rsidR="47B176A6">
        <w:t xml:space="preserve"> respective</w:t>
      </w:r>
      <w:r>
        <w:t xml:space="preserve"> TSOs. Each invoice </w:t>
      </w:r>
      <w:r w:rsidRPr="00C40657">
        <w:t>issued shall be sent by email to the TSO</w:t>
      </w:r>
      <w:r>
        <w:t>, but at the request of a TSO a paper version shall also be provided. Invoice shall be issued not later than 14th calendar day of the next month after ending the invoiced period. Each invoice shall include at least the following items:</w:t>
      </w:r>
    </w:p>
    <w:p w14:paraId="17415D5F" w14:textId="24DA3F78" w:rsidR="00D4536C" w:rsidRDefault="00D4536C" w:rsidP="00D4536C">
      <w:pPr>
        <w:pStyle w:val="ListParagraph"/>
        <w:numPr>
          <w:ilvl w:val="0"/>
          <w:numId w:val="85"/>
        </w:numPr>
        <w:spacing w:after="0"/>
      </w:pPr>
      <w:r>
        <w:t xml:space="preserve">Full name, address and e-mail address of the respective </w:t>
      </w:r>
      <w:r w:rsidR="002E2691">
        <w:t>Coordination</w:t>
      </w:r>
      <w:r>
        <w:t xml:space="preserve"> Centre and the invoiced TSO;</w:t>
      </w:r>
    </w:p>
    <w:p w14:paraId="41A7C62D" w14:textId="63C1A819" w:rsidR="00D4536C" w:rsidRDefault="00D4536C" w:rsidP="00D4536C">
      <w:pPr>
        <w:pStyle w:val="ListParagraph"/>
        <w:numPr>
          <w:ilvl w:val="0"/>
          <w:numId w:val="85"/>
        </w:numPr>
        <w:spacing w:after="0"/>
      </w:pPr>
      <w:r>
        <w:t xml:space="preserve">VAT number of the respective </w:t>
      </w:r>
      <w:r w:rsidR="002E2691">
        <w:t>Coordination</w:t>
      </w:r>
      <w:r>
        <w:t xml:space="preserve"> Centre and the invoiced TSO;</w:t>
      </w:r>
    </w:p>
    <w:p w14:paraId="5C6A7CD2" w14:textId="77777777" w:rsidR="00D4536C" w:rsidRDefault="00D4536C" w:rsidP="00D4536C">
      <w:pPr>
        <w:pStyle w:val="ListParagraph"/>
        <w:numPr>
          <w:ilvl w:val="0"/>
          <w:numId w:val="85"/>
        </w:numPr>
        <w:spacing w:after="0"/>
      </w:pPr>
      <w:r>
        <w:t xml:space="preserve">Invoiced amount, valued in euro; </w:t>
      </w:r>
    </w:p>
    <w:p w14:paraId="7C436146" w14:textId="77777777" w:rsidR="00D4536C" w:rsidRDefault="00D4536C" w:rsidP="00D4536C">
      <w:pPr>
        <w:pStyle w:val="ListParagraph"/>
        <w:numPr>
          <w:ilvl w:val="0"/>
          <w:numId w:val="85"/>
        </w:numPr>
        <w:spacing w:after="0"/>
      </w:pPr>
      <w:r>
        <w:rPr>
          <w:rFonts w:hint="eastAsia"/>
        </w:rPr>
        <w:t>A detailed specification of the costs;</w:t>
      </w:r>
    </w:p>
    <w:p w14:paraId="3FF7A43B" w14:textId="77777777" w:rsidR="00D4536C" w:rsidRDefault="00D4536C" w:rsidP="00D4536C">
      <w:pPr>
        <w:pStyle w:val="ListParagraph"/>
        <w:numPr>
          <w:ilvl w:val="0"/>
          <w:numId w:val="85"/>
        </w:numPr>
        <w:spacing w:after="0"/>
      </w:pPr>
      <w:r>
        <w:t>Bank account and bank address (including IBAN and BIC) on which the relevant payment shall be made;</w:t>
      </w:r>
    </w:p>
    <w:p w14:paraId="1A643132" w14:textId="77777777" w:rsidR="00D4536C" w:rsidRDefault="00D4536C" w:rsidP="00D4536C">
      <w:pPr>
        <w:pStyle w:val="ListParagraph"/>
        <w:numPr>
          <w:ilvl w:val="0"/>
          <w:numId w:val="85"/>
        </w:numPr>
        <w:spacing w:after="0"/>
      </w:pPr>
      <w:r>
        <w:t>Invoice number;</w:t>
      </w:r>
    </w:p>
    <w:p w14:paraId="10C002C4" w14:textId="77777777" w:rsidR="00D4536C" w:rsidRDefault="00D4536C" w:rsidP="00D4536C">
      <w:pPr>
        <w:pStyle w:val="ListParagraph"/>
        <w:numPr>
          <w:ilvl w:val="0"/>
          <w:numId w:val="85"/>
        </w:numPr>
        <w:spacing w:after="0"/>
      </w:pPr>
      <w:r>
        <w:t>Invoice issue date;</w:t>
      </w:r>
    </w:p>
    <w:p w14:paraId="3136C423" w14:textId="77777777" w:rsidR="00D4536C" w:rsidRDefault="00D4536C" w:rsidP="00D4536C">
      <w:pPr>
        <w:pStyle w:val="ListParagraph"/>
        <w:numPr>
          <w:ilvl w:val="0"/>
          <w:numId w:val="85"/>
        </w:numPr>
        <w:spacing w:after="0"/>
      </w:pPr>
      <w:r>
        <w:t>Invoicing period</w:t>
      </w:r>
      <w:r w:rsidRPr="006433B0">
        <w:t xml:space="preserve"> </w:t>
      </w:r>
      <w:r>
        <w:t>from date _______to date_______;</w:t>
      </w:r>
    </w:p>
    <w:p w14:paraId="1D0F4FA1" w14:textId="6EDCD78A" w:rsidR="00D4536C" w:rsidRDefault="00D4536C" w:rsidP="00D4536C">
      <w:pPr>
        <w:pStyle w:val="ListParagraph"/>
        <w:numPr>
          <w:ilvl w:val="0"/>
          <w:numId w:val="85"/>
        </w:numPr>
        <w:spacing w:after="0"/>
      </w:pPr>
      <w:r>
        <w:t>Designation of the service on the invoice;</w:t>
      </w:r>
    </w:p>
    <w:p w14:paraId="6F6E8FF4" w14:textId="77777777" w:rsidR="00D4536C" w:rsidRDefault="00D4536C" w:rsidP="00D4536C">
      <w:pPr>
        <w:pStyle w:val="ListParagraph"/>
        <w:numPr>
          <w:ilvl w:val="0"/>
          <w:numId w:val="85"/>
        </w:numPr>
        <w:spacing w:after="0"/>
      </w:pPr>
      <w:r>
        <w:t>Tax rate and tax amount separately, if any;</w:t>
      </w:r>
    </w:p>
    <w:p w14:paraId="7F9573E1" w14:textId="77777777" w:rsidR="00D4536C" w:rsidRDefault="00D4536C" w:rsidP="00D4536C">
      <w:pPr>
        <w:pStyle w:val="ListParagraph"/>
        <w:numPr>
          <w:ilvl w:val="0"/>
          <w:numId w:val="85"/>
        </w:numPr>
        <w:spacing w:after="0"/>
      </w:pPr>
      <w:r>
        <w:t>Specific constraint for invoicing, required by article 226 of Directive 2006/112/CE, if any, e.g. indication of the reference to the applicable provision of the Directive where the supply of services is subject to the VAT reverse charge procedure;</w:t>
      </w:r>
    </w:p>
    <w:p w14:paraId="238B82D7" w14:textId="77777777" w:rsidR="00D4536C" w:rsidRDefault="00D4536C" w:rsidP="00D4536C">
      <w:pPr>
        <w:pStyle w:val="ListParagraph"/>
        <w:numPr>
          <w:ilvl w:val="0"/>
          <w:numId w:val="85"/>
        </w:numPr>
        <w:spacing w:after="0"/>
      </w:pPr>
      <w:r>
        <w:t>Reference if required by the invoiced TSO; and</w:t>
      </w:r>
    </w:p>
    <w:p w14:paraId="3A272E93" w14:textId="77777777" w:rsidR="00D4536C" w:rsidRDefault="00D4536C" w:rsidP="00D4536C">
      <w:pPr>
        <w:pStyle w:val="ListParagraph"/>
        <w:numPr>
          <w:ilvl w:val="0"/>
          <w:numId w:val="85"/>
        </w:numPr>
        <w:spacing w:after="0"/>
      </w:pPr>
      <w:r>
        <w:t>Payment term.</w:t>
      </w:r>
    </w:p>
    <w:p w14:paraId="0C328749" w14:textId="77777777" w:rsidR="00D4536C" w:rsidRDefault="00D4536C" w:rsidP="00F07EAC">
      <w:pPr>
        <w:spacing w:after="0"/>
      </w:pPr>
    </w:p>
    <w:p w14:paraId="097CB2BF" w14:textId="77777777" w:rsidR="00D4536C" w:rsidRDefault="00D4536C" w:rsidP="00D4536C">
      <w:pPr>
        <w:spacing w:after="0"/>
      </w:pPr>
    </w:p>
    <w:p w14:paraId="0FE1F7D8" w14:textId="0BF322DD" w:rsidR="00D4536C" w:rsidRDefault="00D4536C" w:rsidP="00D4536C">
      <w:pPr>
        <w:spacing w:after="0"/>
      </w:pPr>
      <w:r>
        <w:t>Reference or purchase order numbers necessary for identifying payments internally, contact persons and contact details</w:t>
      </w:r>
      <w:r w:rsidR="00260D4F">
        <w:t xml:space="preserve"> for the sake of sending invoice</w:t>
      </w:r>
      <w:r>
        <w:t xml:space="preserve"> shall be requested by the </w:t>
      </w:r>
      <w:r w:rsidR="002E2691">
        <w:t>Coordination</w:t>
      </w:r>
      <w:r>
        <w:t xml:space="preserve"> Centre from each TSO.</w:t>
      </w:r>
    </w:p>
    <w:p w14:paraId="6AEDE49F" w14:textId="77777777" w:rsidR="00D4536C" w:rsidRDefault="00D4536C" w:rsidP="00D4536C">
      <w:pPr>
        <w:spacing w:after="0"/>
      </w:pPr>
    </w:p>
    <w:p w14:paraId="436888B8" w14:textId="77777777" w:rsidR="00D4536C" w:rsidRDefault="00D4536C" w:rsidP="00D4536C">
      <w:r>
        <w:t>Invoices shall be paid within thirty (30) calendar days from the end of the month of the receipt of the respective invoice. All payment(s) shall be made by wire transfer to the bank account indicated in the invoice(s).</w:t>
      </w:r>
    </w:p>
    <w:p w14:paraId="1C51D67C" w14:textId="098D4192" w:rsidR="00D4536C" w:rsidRDefault="00D4536C" w:rsidP="00D4536C">
      <w:r>
        <w:t>If a TSO disputes</w:t>
      </w:r>
      <w:r w:rsidR="15914F32">
        <w:t xml:space="preserve"> any invoice,</w:t>
      </w:r>
      <w:r>
        <w:t xml:space="preserve"> it shall; (i) pay all charges not disputed, and (ii) notify the </w:t>
      </w:r>
      <w:r w:rsidR="002E2691">
        <w:t>Coordination</w:t>
      </w:r>
      <w:r>
        <w:t xml:space="preserve"> Centre</w:t>
      </w:r>
      <w:r w:rsidR="0003023A">
        <w:t>, as indicated in the invoice,</w:t>
      </w:r>
      <w:r>
        <w:t xml:space="preserve"> of the dispute in writing, providing the invoice number and an explanation of the issue in dispute.</w:t>
      </w:r>
    </w:p>
    <w:p w14:paraId="0A9E0C25" w14:textId="0B1923E2" w:rsidR="00D4536C" w:rsidRDefault="00D4536C" w:rsidP="00D4536C">
      <w:r>
        <w:t xml:space="preserve">In the event of failure to pay the invoiced amount within the abovementioned payment period, the </w:t>
      </w:r>
      <w:r w:rsidR="002E2691">
        <w:t>Coordination</w:t>
      </w:r>
      <w:r>
        <w:t xml:space="preserve"> Centre sends a reminder and has the right to automatically charge the defaulting TSO interest for late payment. For the following months, the interest for late payment, on any amount effectively due, will be the positive one month EURIBOR rate or zero, if the one month EURIBOR rate is negative.</w:t>
      </w:r>
    </w:p>
    <w:p w14:paraId="698CCE19" w14:textId="28604A0C" w:rsidR="002B21A8" w:rsidRDefault="00D4536C" w:rsidP="002B21A8">
      <w:r>
        <w:t>All payments shall be made in euro and, unless otherwise agreed in writing, shall be made without set-off or counterclaim.</w:t>
      </w:r>
    </w:p>
    <w:p w14:paraId="6F0EA703" w14:textId="63E54E46" w:rsidR="002B21A8" w:rsidRDefault="002B21A8" w:rsidP="002B21A8">
      <w:r>
        <w:t xml:space="preserve">When any tax or duty is due by TSOs in their countries at receipt of the invoices issued by the </w:t>
      </w:r>
      <w:r w:rsidR="002E2691">
        <w:t>Coordination</w:t>
      </w:r>
      <w:r w:rsidR="004164DC">
        <w:t xml:space="preserve"> </w:t>
      </w:r>
      <w:r>
        <w:t>C</w:t>
      </w:r>
      <w:r w:rsidR="004164DC">
        <w:t>entre</w:t>
      </w:r>
      <w:r>
        <w:t xml:space="preserve"> for its services, it should be paid on top of the amounts due to the latter. It is understood that all amounts billed by the </w:t>
      </w:r>
      <w:r w:rsidR="002E2691">
        <w:t>Coordination</w:t>
      </w:r>
      <w:r w:rsidR="004164DC">
        <w:t xml:space="preserve"> </w:t>
      </w:r>
      <w:r>
        <w:t>C</w:t>
      </w:r>
      <w:r w:rsidR="004164DC">
        <w:t>entr</w:t>
      </w:r>
      <w:r w:rsidR="0045067B">
        <w:t>e</w:t>
      </w:r>
      <w:r>
        <w:t xml:space="preserve"> are exclusive of applicable taxes and duties. </w:t>
      </w:r>
      <w:bookmarkStart w:id="152" w:name="_Hlk84910805"/>
      <w:r>
        <w:t xml:space="preserve">The parties confirm that two previous sentences do not apply to a potential withholding tax applicable in Poland. </w:t>
      </w:r>
      <w:r w:rsidRPr="00D00019">
        <w:t xml:space="preserve">The specific regulations with regard to a withholding tax due in Poland </w:t>
      </w:r>
      <w:bookmarkEnd w:id="152"/>
      <w:r w:rsidRPr="00D00019">
        <w:t xml:space="preserve">are determined </w:t>
      </w:r>
      <w:r>
        <w:t xml:space="preserve">in the following provisions of section C-9 of this Annex </w:t>
      </w:r>
      <w:r w:rsidR="00EB03D7">
        <w:t xml:space="preserve">3 </w:t>
      </w:r>
      <w:r>
        <w:t>as well as in section C-13 of this Annex 3.</w:t>
      </w:r>
      <w:r w:rsidRPr="00D00019">
        <w:t xml:space="preserve"> </w:t>
      </w:r>
    </w:p>
    <w:p w14:paraId="485BD741" w14:textId="57102B3C" w:rsidR="002B21A8" w:rsidRDefault="009E2D69" w:rsidP="009E2D69">
      <w:r w:rsidRPr="00C77ACC">
        <w:t xml:space="preserve">The </w:t>
      </w:r>
      <w:r>
        <w:t xml:space="preserve">net </w:t>
      </w:r>
      <w:r w:rsidRPr="00C77ACC">
        <w:t xml:space="preserve">remuneration due to the </w:t>
      </w:r>
      <w:r w:rsidR="002E2691">
        <w:t>Coordination</w:t>
      </w:r>
      <w:r w:rsidR="004164DC">
        <w:t xml:space="preserve"> </w:t>
      </w:r>
      <w:r>
        <w:t>C</w:t>
      </w:r>
      <w:r w:rsidR="004164DC">
        <w:t>entre</w:t>
      </w:r>
      <w:r w:rsidR="007A0A1E">
        <w:t xml:space="preserve"> (i.e. remuneration exclusive of VAT)</w:t>
      </w:r>
      <w:r w:rsidRPr="00C77ACC">
        <w:t xml:space="preserve"> includes the amount of withholding tax due in Poland on taxable income received by foreign entities. In the event that, in accordance with applicable tax regulations, PSE is obliged to deduct from the </w:t>
      </w:r>
      <w:r w:rsidR="002E2691">
        <w:t>Coordination</w:t>
      </w:r>
      <w:r w:rsidR="004164DC">
        <w:t xml:space="preserve"> </w:t>
      </w:r>
      <w:r>
        <w:t>C</w:t>
      </w:r>
      <w:r w:rsidR="004164DC">
        <w:t>entre</w:t>
      </w:r>
      <w:r w:rsidRPr="00C77ACC">
        <w:t>’s payment the amount of withholding tax due in Poland, PSE shall make this deduction taking into account the applicable rate and the principles set out in the relevant Polish tax law and double taxation agreements</w:t>
      </w:r>
      <w:r>
        <w:t xml:space="preserve">.  </w:t>
      </w:r>
    </w:p>
    <w:p w14:paraId="2DB5538B" w14:textId="1224093B" w:rsidR="002B21A8" w:rsidRDefault="009E2D69" w:rsidP="009E2D69">
      <w:r w:rsidRPr="00C77ACC">
        <w:t>In order for PSE to apply the</w:t>
      </w:r>
      <w:r w:rsidR="006A7374">
        <w:t xml:space="preserve"> exemption or the</w:t>
      </w:r>
      <w:r w:rsidRPr="00C77ACC">
        <w:t xml:space="preserve"> appropriate</w:t>
      </w:r>
      <w:r w:rsidR="002B21A8">
        <w:t xml:space="preserve"> reduced</w:t>
      </w:r>
      <w:r w:rsidRPr="00C77ACC">
        <w:t xml:space="preserve"> tax rate of withholding tax in Poland on income obtained by foreign entities</w:t>
      </w:r>
      <w:r>
        <w:t xml:space="preserve">, the </w:t>
      </w:r>
      <w:r w:rsidR="002E2691">
        <w:t>Coordination</w:t>
      </w:r>
      <w:r w:rsidR="004164DC">
        <w:t xml:space="preserve"> </w:t>
      </w:r>
      <w:r>
        <w:t>C</w:t>
      </w:r>
      <w:r w:rsidR="004164DC">
        <w:t>entre</w:t>
      </w:r>
      <w:r>
        <w:t xml:space="preserve"> shall </w:t>
      </w:r>
      <w:r w:rsidRPr="00C77ACC">
        <w:t>deliver</w:t>
      </w:r>
      <w:r w:rsidR="008867EE">
        <w:t>, in accordance with the following provision</w:t>
      </w:r>
      <w:r w:rsidR="00C85AA6">
        <w:t>,</w:t>
      </w:r>
      <w:r w:rsidRPr="00C77ACC">
        <w:t xml:space="preserve"> a valid and original tax residence certificate issued by tax authorities competent for the </w:t>
      </w:r>
      <w:r w:rsidR="002E2691">
        <w:t>Coordination</w:t>
      </w:r>
      <w:r w:rsidR="004164DC">
        <w:t xml:space="preserve"> </w:t>
      </w:r>
      <w:r>
        <w:t>C</w:t>
      </w:r>
      <w:r w:rsidR="004164DC">
        <w:t>entre</w:t>
      </w:r>
      <w:r w:rsidRPr="00C77ACC">
        <w:t xml:space="preserve">’s registered </w:t>
      </w:r>
      <w:r>
        <w:t xml:space="preserve">office and documents mentioned in the section C-13 of this Annex 3. </w:t>
      </w:r>
    </w:p>
    <w:p w14:paraId="1A764AA1" w14:textId="65F637AF" w:rsidR="00260D4F" w:rsidRDefault="00260D4F" w:rsidP="00260D4F">
      <w:r>
        <w:t xml:space="preserve">Upon request of a TSO, </w:t>
      </w:r>
      <w:r w:rsidR="002E2691">
        <w:t>Coordination</w:t>
      </w:r>
      <w:r>
        <w:t xml:space="preserve"> Centres shall deliver a valid and original tax residence certificate issued by tax authorities competent for the </w:t>
      </w:r>
      <w:r w:rsidR="002E2691">
        <w:t>Coordination</w:t>
      </w:r>
      <w:r>
        <w:t xml:space="preserve"> Centre</w:t>
      </w:r>
      <w:r w:rsidR="002F76C3">
        <w:t>’s</w:t>
      </w:r>
      <w:r>
        <w:t xml:space="preserve"> registered headquarters to </w:t>
      </w:r>
      <w:r w:rsidR="002F76C3">
        <w:t>requesting TSO</w:t>
      </w:r>
      <w:r>
        <w:t xml:space="preserve">, </w:t>
      </w:r>
      <w:r w:rsidDel="002B21A8">
        <w:t xml:space="preserve">after concluding this Annex, but not later than by the 10th calendar day prior to the date of the first payment and at least 30 calendar days prior to the expiry of each running calendar year, while the Annex being in force. In the event of a change of tax residence, the </w:t>
      </w:r>
      <w:r w:rsidR="002E2691">
        <w:t>Coordination</w:t>
      </w:r>
      <w:r w:rsidR="002F76C3" w:rsidDel="002B21A8">
        <w:t xml:space="preserve"> </w:t>
      </w:r>
      <w:r w:rsidDel="002B21A8">
        <w:t>C</w:t>
      </w:r>
      <w:r w:rsidR="002F76C3" w:rsidDel="002B21A8">
        <w:t>entre</w:t>
      </w:r>
      <w:r w:rsidDel="002B21A8">
        <w:t xml:space="preserve"> is required to provide </w:t>
      </w:r>
      <w:r w:rsidR="002F76C3" w:rsidDel="002B21A8">
        <w:t>requesting TSO</w:t>
      </w:r>
      <w:r w:rsidDel="002B21A8">
        <w:t xml:space="preserve"> with a valid and original tax residence certificate of the new state of tax residence issued by the relevant tax authorities, however not later than by the 10th calendar day prior to the expiry of the payment period of the part of the payment due after the change of tax residence. The costs associated with obtaining the original certificate of tax residence (in particular, any administrative fees) shall be borne by the </w:t>
      </w:r>
      <w:r w:rsidR="002E2691">
        <w:t>Coordination</w:t>
      </w:r>
      <w:r w:rsidR="002F76C3" w:rsidDel="002B21A8">
        <w:t xml:space="preserve"> </w:t>
      </w:r>
      <w:r w:rsidDel="002B21A8">
        <w:t>C</w:t>
      </w:r>
      <w:r w:rsidR="002F76C3" w:rsidDel="002B21A8">
        <w:t>entre</w:t>
      </w:r>
      <w:r w:rsidDel="002B21A8">
        <w:t>.</w:t>
      </w:r>
    </w:p>
    <w:p w14:paraId="7ED4A0B1" w14:textId="0F672A23" w:rsidR="00D10679" w:rsidRPr="004B67A4" w:rsidRDefault="00D10679" w:rsidP="00D10679">
      <w:r w:rsidRPr="004B67A4">
        <w:t xml:space="preserve">In the event of failure to comply with the obligation </w:t>
      </w:r>
      <w:r w:rsidR="007A0A1E">
        <w:t>to deliver a correct tax residency certificate or with the obligations set out in</w:t>
      </w:r>
      <w:r w:rsidRPr="004B67A4">
        <w:t xml:space="preserve"> </w:t>
      </w:r>
      <w:r>
        <w:t xml:space="preserve">section </w:t>
      </w:r>
      <w:r w:rsidRPr="004B67A4">
        <w:t xml:space="preserve">C-13 of this Annex 3 </w:t>
      </w:r>
      <w:r>
        <w:t>each</w:t>
      </w:r>
      <w:r w:rsidRPr="004B67A4">
        <w:t xml:space="preserve"> </w:t>
      </w:r>
      <w:r w:rsidR="002E2691">
        <w:t>Coordination</w:t>
      </w:r>
      <w:r w:rsidR="002176EF">
        <w:t xml:space="preserve"> </w:t>
      </w:r>
      <w:r>
        <w:t>C</w:t>
      </w:r>
      <w:r w:rsidR="002176EF">
        <w:t>entre</w:t>
      </w:r>
      <w:r w:rsidRPr="004B67A4">
        <w:t xml:space="preserve"> confirms that it is aware of the obligation of PSE to reduce the payment due to the </w:t>
      </w:r>
      <w:r w:rsidR="002E2691">
        <w:t>Coordination</w:t>
      </w:r>
      <w:r w:rsidR="002176EF">
        <w:t xml:space="preserve"> </w:t>
      </w:r>
      <w:r>
        <w:t>C</w:t>
      </w:r>
      <w:r w:rsidR="002176EF">
        <w:t>entre</w:t>
      </w:r>
      <w:r w:rsidRPr="004B67A4">
        <w:t xml:space="preserve"> by the amount corresponding to the value of the withholding tax due in Poland (if PSE is obliged to collect such tax pursuant to Polish tax provisions, tax rulings or decisions received by PSE individually or in accordance with generally available practice and/or standpoint of the Polish tax authorities) and the </w:t>
      </w:r>
      <w:r w:rsidR="002E2691">
        <w:t>Coordination</w:t>
      </w:r>
      <w:r w:rsidR="002176EF">
        <w:t xml:space="preserve"> </w:t>
      </w:r>
      <w:r>
        <w:t>C</w:t>
      </w:r>
      <w:r w:rsidR="002176EF">
        <w:t>entre</w:t>
      </w:r>
      <w:r w:rsidRPr="004B67A4">
        <w:t xml:space="preserve"> agrees for such deduction.</w:t>
      </w:r>
      <w:r w:rsidR="009F41C5">
        <w:t xml:space="preserve"> The </w:t>
      </w:r>
      <w:r w:rsidR="002E2691">
        <w:t>Coordination</w:t>
      </w:r>
      <w:r w:rsidR="002176EF">
        <w:t xml:space="preserve"> </w:t>
      </w:r>
      <w:r w:rsidR="009F41C5">
        <w:t>C</w:t>
      </w:r>
      <w:r w:rsidR="002176EF">
        <w:t>entre</w:t>
      </w:r>
      <w:r w:rsidR="009F41C5">
        <w:t xml:space="preserve"> agrees also for a deduction of the tax amount</w:t>
      </w:r>
      <w:r w:rsidR="00712091">
        <w:t xml:space="preserve"> from the remuneration due to the </w:t>
      </w:r>
      <w:r w:rsidR="002E2691">
        <w:t>Coordination</w:t>
      </w:r>
      <w:r w:rsidR="00712091">
        <w:t xml:space="preserve"> Centre</w:t>
      </w:r>
      <w:r w:rsidR="009F41C5">
        <w:t xml:space="preserve"> if PSE is obliged to withhold such tax (</w:t>
      </w:r>
      <w:r w:rsidR="009F41C5" w:rsidRPr="004B67A4">
        <w:t>pursuant to Polish tax provisions, tax rulings or decisions received by PSE individually or in accordance with generally available practice and/or standpoint of the Polish tax authorities</w:t>
      </w:r>
      <w:r w:rsidR="009F41C5">
        <w:t>) despite the documentation being delivered in accordance with this Annex 3</w:t>
      </w:r>
      <w:r w:rsidR="00392E2C">
        <w:t>, in particular with its section C-13</w:t>
      </w:r>
      <w:r w:rsidR="009F41C5">
        <w:t>.</w:t>
      </w:r>
    </w:p>
    <w:p w14:paraId="22B25695" w14:textId="064DC34E" w:rsidR="00A36536" w:rsidRDefault="00A36536" w:rsidP="0079377A"/>
    <w:p w14:paraId="2A237211" w14:textId="3C80EA97" w:rsidR="00443483" w:rsidRPr="00C87891" w:rsidRDefault="00060F52" w:rsidP="00D4536C">
      <w:pPr>
        <w:pStyle w:val="Heading2"/>
      </w:pPr>
      <w:bookmarkStart w:id="153" w:name="_Toc90297831"/>
      <w:r>
        <w:t>Transitory provision</w:t>
      </w:r>
      <w:bookmarkEnd w:id="149"/>
      <w:bookmarkEnd w:id="150"/>
      <w:bookmarkEnd w:id="153"/>
    </w:p>
    <w:p w14:paraId="70A50792" w14:textId="0F0F4F25" w:rsidR="00A07290" w:rsidRDefault="00AA679C" w:rsidP="00060F52">
      <w:pPr>
        <w:jc w:val="left"/>
        <w:rPr>
          <w:rStyle w:val="Strong"/>
        </w:rPr>
      </w:pPr>
      <w:r w:rsidRPr="00632FF6">
        <w:rPr>
          <w:rStyle w:val="Strong"/>
        </w:rPr>
        <w:t>Transition from Compensation Program to Financial Settlement</w:t>
      </w:r>
    </w:p>
    <w:p w14:paraId="1805257C" w14:textId="77777777" w:rsidR="004D51F1" w:rsidRPr="009603D1" w:rsidRDefault="004D51F1" w:rsidP="004D51F1">
      <w:pPr>
        <w:rPr>
          <w:rStyle w:val="Strong"/>
          <w:b w:val="0"/>
          <w:bCs w:val="0"/>
        </w:rPr>
      </w:pPr>
      <w:r w:rsidRPr="384D70B8">
        <w:rPr>
          <w:rStyle w:val="Strong"/>
          <w:b w:val="0"/>
          <w:bCs w:val="0"/>
        </w:rPr>
        <w:t xml:space="preserve">RG CE Plenary must decide on the date for the go-live of the financial settlement, meaning the first day where the procedures as described in this Policy will be used. The go-live date must correspond to a day at the end of the recording periods of the compensation calendar. </w:t>
      </w:r>
      <w:r w:rsidRPr="384D70B8">
        <w:rPr>
          <w:rFonts w:cs="Arial"/>
        </w:rPr>
        <w:t xml:space="preserve">Until go-live of the Financial Settlement, the compensation of unintentional exchange shall be performed according to the current procedures as agreed in Annex 3 of the SAFA dated 14.04.2019. </w:t>
      </w:r>
      <w:r w:rsidRPr="384D70B8">
        <w:rPr>
          <w:rStyle w:val="Strong"/>
          <w:b w:val="0"/>
          <w:bCs w:val="0"/>
        </w:rPr>
        <w:t xml:space="preserve">At the go-live of the financial settlement, a compensation program based on the final accounts of the Unintentional Deviations will be calculated. This will result in a separate final compensation program for summer and winter period, which shall be compensated within the corresponding compensation periods as reflected in the compensation calendar. These compensation programs will be added to the energy exchange schedule for the relevant periods. </w:t>
      </w:r>
    </w:p>
    <w:p w14:paraId="627FCCA0" w14:textId="64EF68FA" w:rsidR="009603D1" w:rsidRPr="009603D1" w:rsidRDefault="009603D1" w:rsidP="009603D1">
      <w:pPr>
        <w:rPr>
          <w:rStyle w:val="Strong"/>
          <w:b w:val="0"/>
          <w:bCs w:val="0"/>
        </w:rPr>
      </w:pPr>
      <w:r w:rsidRPr="009603D1">
        <w:rPr>
          <w:rStyle w:val="Strong"/>
          <w:b w:val="0"/>
          <w:bCs w:val="0"/>
        </w:rPr>
        <w:t>The unintentional exchange on the final accounts of Unintentional Deviations will not be fully compensated through the realization of the final compensation programs in the transition period. In order to settle the remaining, not compensated energy, the realized control programs used as an input for financial settlement process shall contain the compensati</w:t>
      </w:r>
      <w:r>
        <w:rPr>
          <w:rStyle w:val="Strong"/>
          <w:b w:val="0"/>
          <w:bCs w:val="0"/>
        </w:rPr>
        <w:t>on programs in accuracy of 1 kW</w:t>
      </w:r>
      <w:r w:rsidR="00B44BF6">
        <w:rPr>
          <w:rStyle w:val="Strong"/>
          <w:b w:val="0"/>
          <w:bCs w:val="0"/>
        </w:rPr>
        <w:t>h</w:t>
      </w:r>
      <w:r w:rsidRPr="009603D1">
        <w:rPr>
          <w:rStyle w:val="Strong"/>
          <w:b w:val="0"/>
          <w:bCs w:val="0"/>
        </w:rPr>
        <w:t xml:space="preserve">. </w:t>
      </w:r>
    </w:p>
    <w:p w14:paraId="44395473" w14:textId="497D4947" w:rsidR="008B55C3" w:rsidRDefault="009603D1" w:rsidP="009603D1">
      <w:pPr>
        <w:rPr>
          <w:rStyle w:val="Strong"/>
          <w:b w:val="0"/>
          <w:bCs w:val="0"/>
        </w:rPr>
      </w:pPr>
      <w:r w:rsidRPr="009603D1">
        <w:rPr>
          <w:rStyle w:val="Strong"/>
          <w:b w:val="0"/>
          <w:bCs w:val="0"/>
        </w:rPr>
        <w:t>After termination of both final compensation programs, for the summer and the winter period, and the settlement of energy remaining on the final accounts of Unintentional Deviations i</w:t>
      </w:r>
      <w:r>
        <w:rPr>
          <w:rStyle w:val="Strong"/>
          <w:b w:val="0"/>
          <w:bCs w:val="0"/>
        </w:rPr>
        <w:t>n line with the Financial Settlement</w:t>
      </w:r>
      <w:r w:rsidRPr="009603D1">
        <w:rPr>
          <w:rStyle w:val="Strong"/>
          <w:b w:val="0"/>
          <w:bCs w:val="0"/>
        </w:rPr>
        <w:t xml:space="preserve">, the transition from the compensation program to the financial settlement is considered as completed. </w:t>
      </w:r>
    </w:p>
    <w:p w14:paraId="3123D0B0" w14:textId="40EFE9E1" w:rsidR="00D26D6B" w:rsidRDefault="008B55C3" w:rsidP="00B51B29">
      <w:pPr>
        <w:rPr>
          <w:rStyle w:val="Strong"/>
          <w:b w:val="0"/>
          <w:bCs w:val="0"/>
        </w:rPr>
      </w:pPr>
      <w:r>
        <w:rPr>
          <w:rStyle w:val="Strong"/>
          <w:b w:val="0"/>
          <w:bCs w:val="0"/>
        </w:rPr>
        <w:t xml:space="preserve">Unintended exchanges, which occur during the transition period, shall be settled financially according to the method described in this document. </w:t>
      </w:r>
    </w:p>
    <w:p w14:paraId="4EEC3A2C" w14:textId="53566E79" w:rsidR="00D26D6B" w:rsidRPr="00274E91" w:rsidRDefault="00D26D6B" w:rsidP="00F7398B">
      <w:pPr>
        <w:pStyle w:val="Heading2"/>
        <w:rPr>
          <w:rStyle w:val="Strong"/>
        </w:rPr>
      </w:pPr>
      <w:bookmarkStart w:id="154" w:name="_Toc90297832"/>
      <w:r w:rsidRPr="00E16283">
        <w:rPr>
          <w:rStyle w:val="Strong"/>
          <w:b/>
          <w:bCs/>
        </w:rPr>
        <w:t xml:space="preserve">Termination by </w:t>
      </w:r>
      <w:r w:rsidR="002E2691">
        <w:rPr>
          <w:rStyle w:val="Strong"/>
          <w:b/>
          <w:bCs/>
        </w:rPr>
        <w:t>Coordination</w:t>
      </w:r>
      <w:r w:rsidRPr="00E16283">
        <w:rPr>
          <w:rStyle w:val="Strong"/>
          <w:b/>
          <w:bCs/>
        </w:rPr>
        <w:t xml:space="preserve"> Centres</w:t>
      </w:r>
      <w:bookmarkEnd w:id="154"/>
    </w:p>
    <w:p w14:paraId="10F43A97" w14:textId="02B00CED" w:rsidR="00D26D6B" w:rsidRDefault="00D26D6B" w:rsidP="5BCF031F">
      <w:r>
        <w:t xml:space="preserve">Each entity appointed to perform the role of </w:t>
      </w:r>
      <w:r w:rsidR="002E2691">
        <w:t>Coordination</w:t>
      </w:r>
      <w:r>
        <w:t xml:space="preserve"> Centre may cease to perform the functions set out in this Annex 3 </w:t>
      </w:r>
      <w:r w:rsidR="004D51F1" w:rsidRPr="00D26D6B">
        <w:t xml:space="preserve">subject to a period of notice of </w:t>
      </w:r>
      <w:r w:rsidR="004D51F1">
        <w:t>twelve (12</w:t>
      </w:r>
      <w:r w:rsidR="004D51F1" w:rsidRPr="00D26D6B">
        <w:t xml:space="preserve">) months </w:t>
      </w:r>
      <w:r w:rsidRPr="00D26D6B">
        <w:t xml:space="preserve">for </w:t>
      </w:r>
      <w:r>
        <w:t>any</w:t>
      </w:r>
      <w:r w:rsidRPr="00D26D6B">
        <w:t xml:space="preserve"> reasons of its own</w:t>
      </w:r>
      <w:r>
        <w:t>.</w:t>
      </w:r>
    </w:p>
    <w:p w14:paraId="487D904B" w14:textId="7CDC20A1" w:rsidR="00D26D6B" w:rsidRDefault="00D26D6B" w:rsidP="5BCF031F">
      <w:r>
        <w:t>Upon notice of termination the enti</w:t>
      </w:r>
      <w:r w:rsidR="009F3935">
        <w:t>t</w:t>
      </w:r>
      <w:r>
        <w:t xml:space="preserve">y commits itself to assist the newly appointed entity in taking over all needed information for the performance of the role of </w:t>
      </w:r>
      <w:r w:rsidR="002E2691">
        <w:t>Coordination</w:t>
      </w:r>
      <w:r>
        <w:t xml:space="preserve"> Centre.</w:t>
      </w:r>
    </w:p>
    <w:p w14:paraId="03FC66D7" w14:textId="5679A444" w:rsidR="00060F52" w:rsidRPr="00274E91" w:rsidRDefault="00D26D6B" w:rsidP="00B51B29">
      <w:pPr>
        <w:rPr>
          <w:rStyle w:val="Strong"/>
          <w:b w:val="0"/>
          <w:bCs w:val="0"/>
        </w:rPr>
      </w:pPr>
      <w:r>
        <w:t>The entity shall provide technical assistance to the newly appointed entity free of charge.</w:t>
      </w:r>
      <w:r w:rsidR="00060F52" w:rsidRPr="00B51B29">
        <w:rPr>
          <w:rStyle w:val="Strong"/>
          <w:b w:val="0"/>
        </w:rPr>
        <w:br w:type="page"/>
      </w:r>
    </w:p>
    <w:p w14:paraId="050204F9" w14:textId="1932E885" w:rsidR="00736A9B" w:rsidRPr="008F75E1" w:rsidRDefault="00736A9B" w:rsidP="00090F5B"/>
    <w:p w14:paraId="39858725" w14:textId="23DCC2F1" w:rsidR="00922DF2" w:rsidRPr="00C87891" w:rsidRDefault="00137192" w:rsidP="00F7398B">
      <w:pPr>
        <w:pStyle w:val="Heading2"/>
      </w:pPr>
      <w:bookmarkStart w:id="155" w:name="_Toc90297833"/>
      <w:r>
        <w:t>Supplements</w:t>
      </w:r>
      <w:bookmarkEnd w:id="155"/>
    </w:p>
    <w:p w14:paraId="529E633E" w14:textId="37CD55DC" w:rsidR="0078053C" w:rsidRPr="00C87891" w:rsidRDefault="0078053C" w:rsidP="00F7398B">
      <w:pPr>
        <w:pStyle w:val="Heading3"/>
      </w:pPr>
      <w:bookmarkStart w:id="156" w:name="_Toc90297834"/>
      <w:r w:rsidRPr="00C87891">
        <w:t>Equation terms</w:t>
      </w:r>
      <w:bookmarkEnd w:id="156"/>
    </w:p>
    <w:p w14:paraId="21522255" w14:textId="6CB7BC49" w:rsidR="0042530A" w:rsidRPr="00C87891" w:rsidRDefault="00394B4C" w:rsidP="0042530A">
      <w:pPr>
        <w:pStyle w:val="NoSpacing"/>
        <w:ind w:left="1418" w:hanging="1418"/>
        <w:rPr>
          <w:lang w:val="en-US"/>
        </w:rPr>
      </w:pPr>
      <m:oMath>
        <m:sSub>
          <m:sSubPr>
            <m:ctrlPr>
              <w:rPr>
                <w:rFonts w:ascii="Cambria Math" w:hAnsi="Cambria Math"/>
                <w:i/>
              </w:rPr>
            </m:ctrlPr>
          </m:sSubPr>
          <m:e>
            <m:r>
              <w:rPr>
                <w:rFonts w:ascii="Cambria Math" w:hAnsi="Cambria Math"/>
              </w:rPr>
              <m:t>E</m:t>
            </m:r>
          </m:e>
          <m:sub>
            <m:r>
              <w:rPr>
                <w:rFonts w:ascii="Cambria Math" w:hAnsi="Cambria Math"/>
              </w:rPr>
              <m:t>ex</m:t>
            </m:r>
          </m:sub>
        </m:sSub>
      </m:oMath>
      <w:r w:rsidR="0042530A" w:rsidRPr="00C87891">
        <w:rPr>
          <w:lang w:val="en-US"/>
        </w:rPr>
        <w:t xml:space="preserve"> </w:t>
      </w:r>
      <w:r w:rsidR="0042530A" w:rsidRPr="00C87891">
        <w:rPr>
          <w:lang w:val="en-US"/>
        </w:rPr>
        <w:tab/>
      </w:r>
      <w:r w:rsidR="00A50180">
        <w:rPr>
          <w:lang w:val="en-US"/>
        </w:rPr>
        <w:t>S</w:t>
      </w:r>
      <w:r w:rsidR="0042530A" w:rsidRPr="00C87891">
        <w:rPr>
          <w:lang w:val="en-US"/>
        </w:rPr>
        <w:t xml:space="preserve">um of cross-border </w:t>
      </w:r>
      <w:r w:rsidR="008151B4" w:rsidRPr="00C87891">
        <w:rPr>
          <w:lang w:val="en-US"/>
        </w:rPr>
        <w:t>Tie-Line</w:t>
      </w:r>
      <w:r w:rsidR="0042530A" w:rsidRPr="00C87891">
        <w:rPr>
          <w:lang w:val="en-US"/>
        </w:rPr>
        <w:t xml:space="preserve"> flows between two TSOs/LFC </w:t>
      </w:r>
      <w:r w:rsidR="008151B4" w:rsidRPr="00C87891">
        <w:rPr>
          <w:lang w:val="en-US"/>
        </w:rPr>
        <w:t>Areas</w:t>
      </w:r>
      <w:r w:rsidR="0042530A" w:rsidRPr="00C87891">
        <w:rPr>
          <w:lang w:val="en-US"/>
        </w:rPr>
        <w:t xml:space="preserve">/LFC </w:t>
      </w:r>
      <w:r w:rsidR="008151B4" w:rsidRPr="00C87891">
        <w:rPr>
          <w:lang w:val="en-US"/>
        </w:rPr>
        <w:t>Blocks</w:t>
      </w:r>
      <w:r w:rsidR="0042530A" w:rsidRPr="00C87891">
        <w:rPr>
          <w:lang w:val="en-US"/>
        </w:rPr>
        <w:t>/</w:t>
      </w:r>
      <w:r w:rsidR="002E2691">
        <w:rPr>
          <w:lang w:val="en-US"/>
        </w:rPr>
        <w:t>Coordination</w:t>
      </w:r>
      <w:r w:rsidR="008D666C">
        <w:rPr>
          <w:lang w:val="en-US"/>
        </w:rPr>
        <w:t xml:space="preserve"> C</w:t>
      </w:r>
      <w:r w:rsidR="008D0660">
        <w:rPr>
          <w:lang w:val="en-US"/>
        </w:rPr>
        <w:t>entre</w:t>
      </w:r>
      <w:r w:rsidR="0042530A" w:rsidRPr="00C87891">
        <w:rPr>
          <w:lang w:val="en-US"/>
        </w:rPr>
        <w:t>s</w:t>
      </w:r>
    </w:p>
    <w:p w14:paraId="66FBE46D" w14:textId="02999B76" w:rsidR="0042530A" w:rsidRPr="00C87891" w:rsidRDefault="0042530A" w:rsidP="0042530A">
      <w:pPr>
        <w:pStyle w:val="NoSpacing"/>
        <w:rPr>
          <w:lang w:val="en-US"/>
        </w:rPr>
      </w:pPr>
    </w:p>
    <w:p w14:paraId="687729B9" w14:textId="65A722B1" w:rsidR="0042530A" w:rsidRPr="00C87891" w:rsidRDefault="00394B4C" w:rsidP="0042530A">
      <w:pPr>
        <w:pStyle w:val="NoSpacing"/>
        <w:rPr>
          <w:lang w:val="en-US"/>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VTL</m:t>
            </m:r>
          </m:sub>
        </m:sSub>
      </m:oMath>
      <w:r w:rsidR="0042530A" w:rsidRPr="00C87891">
        <w:rPr>
          <w:lang w:val="en-US"/>
        </w:rPr>
        <w:tab/>
      </w:r>
      <w:r w:rsidR="0042530A" w:rsidRPr="00C87891">
        <w:rPr>
          <w:lang w:val="en-US"/>
        </w:rPr>
        <w:tab/>
      </w:r>
      <w:r w:rsidR="00A50180">
        <w:rPr>
          <w:lang w:val="en-US"/>
        </w:rPr>
        <w:t>I</w:t>
      </w:r>
      <w:r w:rsidR="0042530A" w:rsidRPr="00C87891">
        <w:rPr>
          <w:lang w:val="en-US"/>
        </w:rPr>
        <w:t>ntended cross-border exchanges through VTL</w:t>
      </w:r>
    </w:p>
    <w:p w14:paraId="3E888F46" w14:textId="2B0445F2" w:rsidR="0042530A" w:rsidRPr="00C87891" w:rsidRDefault="0042530A" w:rsidP="0042530A">
      <w:pPr>
        <w:pStyle w:val="NoSpacing"/>
        <w:rPr>
          <w:lang w:val="en-US"/>
        </w:rPr>
      </w:pPr>
    </w:p>
    <w:p w14:paraId="17ED4DF1" w14:textId="57EAC155" w:rsidR="0042530A" w:rsidRPr="00C87891" w:rsidRDefault="00394B4C" w:rsidP="0042530A">
      <w:pPr>
        <w:pStyle w:val="NoSpacing"/>
        <w:rPr>
          <w:lang w:val="en-US"/>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sch</m:t>
            </m:r>
          </m:sub>
        </m:sSub>
      </m:oMath>
      <w:r w:rsidR="0042530A" w:rsidRPr="00C87891">
        <w:rPr>
          <w:lang w:val="en-US"/>
        </w:rPr>
        <w:t xml:space="preserve"> </w:t>
      </w:r>
      <w:r w:rsidR="0042530A" w:rsidRPr="00C87891">
        <w:rPr>
          <w:lang w:val="en-US"/>
        </w:rPr>
        <w:tab/>
      </w:r>
      <w:r w:rsidR="0042530A" w:rsidRPr="00C87891">
        <w:rPr>
          <w:lang w:val="en-US"/>
        </w:rPr>
        <w:tab/>
      </w:r>
      <w:r w:rsidR="00A50180">
        <w:rPr>
          <w:lang w:val="en-US"/>
        </w:rPr>
        <w:t>C</w:t>
      </w:r>
      <w:r w:rsidR="0042530A" w:rsidRPr="00C87891">
        <w:rPr>
          <w:lang w:val="en-US"/>
        </w:rPr>
        <w:t>ross-border energy exchange through ANES</w:t>
      </w:r>
    </w:p>
    <w:p w14:paraId="05D3E468" w14:textId="1F04A1C2" w:rsidR="0042530A" w:rsidRPr="00C87891" w:rsidRDefault="0042530A" w:rsidP="0042530A">
      <w:pPr>
        <w:pStyle w:val="NoSpacing"/>
        <w:rPr>
          <w:lang w:val="en-US"/>
        </w:rPr>
      </w:pPr>
    </w:p>
    <w:p w14:paraId="2CEE12B2" w14:textId="52CB793D" w:rsidR="0042530A" w:rsidRPr="002C70EF" w:rsidRDefault="00394B4C" w:rsidP="0042530A">
      <w:pPr>
        <w:pStyle w:val="NoSpacing"/>
        <w:ind w:left="1418" w:hanging="1418"/>
        <w:rPr>
          <w:lang w:val="nl-NL"/>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FCP</m:t>
            </m:r>
          </m:sub>
        </m:sSub>
      </m:oMath>
      <w:r w:rsidR="0042530A" w:rsidRPr="002C70EF">
        <w:rPr>
          <w:lang w:val="nl-NL"/>
        </w:rPr>
        <w:tab/>
      </w:r>
      <w:r w:rsidR="002942F3" w:rsidRPr="002C70EF">
        <w:rPr>
          <w:lang w:val="nl-NL"/>
        </w:rPr>
        <w:t>FCP Energy</w:t>
      </w:r>
    </w:p>
    <w:p w14:paraId="444FF0E2" w14:textId="79CA8B36" w:rsidR="002942F3" w:rsidRPr="002C70EF" w:rsidRDefault="002942F3" w:rsidP="0042530A">
      <w:pPr>
        <w:pStyle w:val="NoSpacing"/>
        <w:ind w:left="1418" w:hanging="1418"/>
        <w:rPr>
          <w:lang w:val="nl-NL"/>
        </w:rPr>
      </w:pPr>
    </w:p>
    <w:p w14:paraId="49D8ED1C" w14:textId="77777777" w:rsidR="002942F3" w:rsidRPr="002C70EF" w:rsidRDefault="00394B4C" w:rsidP="0042530A">
      <w:pPr>
        <w:pStyle w:val="NoSpacing"/>
        <w:ind w:left="1418" w:hanging="1418"/>
        <w:rPr>
          <w:lang w:val="nl-NL"/>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RP</m:t>
            </m:r>
          </m:sub>
        </m:sSub>
      </m:oMath>
      <w:r w:rsidR="002942F3" w:rsidRPr="002C70EF">
        <w:rPr>
          <w:lang w:val="nl-NL"/>
        </w:rPr>
        <w:tab/>
        <w:t>RP Energy</w:t>
      </w:r>
    </w:p>
    <w:p w14:paraId="220D314D" w14:textId="79D8ED76" w:rsidR="002942F3" w:rsidRPr="002C70EF" w:rsidRDefault="002942F3" w:rsidP="0042530A">
      <w:pPr>
        <w:pStyle w:val="NoSpacing"/>
        <w:ind w:left="1418" w:hanging="1418"/>
        <w:rPr>
          <w:lang w:val="nl-NL"/>
        </w:rPr>
      </w:pPr>
    </w:p>
    <w:p w14:paraId="6F29208D" w14:textId="77777777" w:rsidR="002942F3" w:rsidRPr="00C87891" w:rsidRDefault="00394B4C" w:rsidP="0042530A">
      <w:pPr>
        <w:pStyle w:val="NoSpacing"/>
        <w:ind w:left="1418" w:hanging="1418"/>
        <w:rPr>
          <w:lang w:val="en-US"/>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UE</m:t>
            </m:r>
          </m:sub>
        </m:sSub>
      </m:oMath>
      <w:r w:rsidR="002942F3" w:rsidRPr="00C87891">
        <w:rPr>
          <w:lang w:val="en-US"/>
        </w:rPr>
        <w:tab/>
      </w:r>
      <w:r w:rsidR="002942F3">
        <w:rPr>
          <w:lang w:val="en-US"/>
        </w:rPr>
        <w:t>Unintended exchange</w:t>
      </w:r>
    </w:p>
    <w:p w14:paraId="17D2A94D" w14:textId="3A767253" w:rsidR="0042530A" w:rsidRPr="00C87891" w:rsidRDefault="0042530A" w:rsidP="0042530A">
      <w:pPr>
        <w:pStyle w:val="NoSpacing"/>
        <w:rPr>
          <w:lang w:val="en-US"/>
        </w:rPr>
      </w:pPr>
    </w:p>
    <w:p w14:paraId="5F5E38FF" w14:textId="0AAB8584" w:rsidR="009269CB" w:rsidRDefault="0042530A" w:rsidP="0042530A">
      <w:pPr>
        <w:pStyle w:val="NoSpacing"/>
        <w:rPr>
          <w:lang w:val="en-US"/>
        </w:rPr>
      </w:pPr>
      <m:oMath>
        <m:r>
          <w:rPr>
            <w:rFonts w:ascii="Cambria Math" w:hAnsi="Cambria Math"/>
            <w:lang w:val="en-US"/>
          </w:rPr>
          <m:t>∆P</m:t>
        </m:r>
      </m:oMath>
      <w:r w:rsidRPr="00C87891">
        <w:rPr>
          <w:lang w:val="en-US"/>
        </w:rPr>
        <w:tab/>
      </w:r>
      <w:r w:rsidRPr="00C87891">
        <w:rPr>
          <w:lang w:val="en-US"/>
        </w:rPr>
        <w:tab/>
      </w:r>
      <w:r w:rsidR="00A50180">
        <w:rPr>
          <w:lang w:val="en-US"/>
        </w:rPr>
        <w:t>P</w:t>
      </w:r>
      <w:r w:rsidRPr="00C87891">
        <w:rPr>
          <w:lang w:val="en-US"/>
        </w:rPr>
        <w:t>ower control error. Defined in SOGL</w:t>
      </w:r>
      <w:r w:rsidR="0061403F">
        <w:rPr>
          <w:lang w:val="en-US"/>
        </w:rPr>
        <w:t>.</w:t>
      </w:r>
    </w:p>
    <w:p w14:paraId="3E48E5EF" w14:textId="3C76B96F" w:rsidR="006A1235" w:rsidRDefault="006A1235" w:rsidP="0042530A">
      <w:pPr>
        <w:pStyle w:val="NoSpacing"/>
        <w:rPr>
          <w:lang w:val="en-US"/>
        </w:rPr>
      </w:pPr>
    </w:p>
    <w:p w14:paraId="31B4BD74" w14:textId="474480A4" w:rsidR="006A1235" w:rsidRPr="00C87891" w:rsidRDefault="00394B4C" w:rsidP="0042530A">
      <w:pPr>
        <w:pStyle w:val="NoSpacing"/>
        <w:rPr>
          <w:lang w:val="en-US"/>
        </w:rPr>
      </w:p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LFC Area</m:t>
            </m:r>
          </m:sub>
        </m:sSub>
      </m:oMath>
      <w:r w:rsidR="006A1235">
        <w:rPr>
          <w:lang w:val="en-US"/>
        </w:rPr>
        <w:t xml:space="preserve"> </w:t>
      </w:r>
      <w:r w:rsidR="006A1235">
        <w:rPr>
          <w:lang w:val="en-US"/>
        </w:rPr>
        <w:tab/>
        <w:t>K-factor of the LFC area</w:t>
      </w:r>
    </w:p>
    <w:p w14:paraId="08E1F1F9" w14:textId="77777777" w:rsidR="00AA679C" w:rsidRPr="000E6581" w:rsidRDefault="00AA679C" w:rsidP="002C2863">
      <w:pPr>
        <w:pStyle w:val="NoSpacing"/>
      </w:pPr>
    </w:p>
    <w:p w14:paraId="7830056A" w14:textId="46A7D63B" w:rsidR="00D706B4" w:rsidRDefault="003B64D5" w:rsidP="00F7398B">
      <w:pPr>
        <w:pStyle w:val="Heading3"/>
      </w:pPr>
      <w:bookmarkStart w:id="157" w:name="_Ref62107543"/>
      <w:bookmarkStart w:id="158" w:name="_Ref62107897"/>
      <w:bookmarkStart w:id="159" w:name="_Toc90297835"/>
      <w:r w:rsidRPr="00C87891">
        <w:t>Timetables for daily accounting and settlement process</w:t>
      </w:r>
      <w:bookmarkStart w:id="160" w:name="_Ref55910097"/>
      <w:bookmarkStart w:id="161" w:name="_Ref512261332"/>
      <w:bookmarkEnd w:id="157"/>
      <w:bookmarkEnd w:id="158"/>
      <w:bookmarkEnd w:id="159"/>
    </w:p>
    <w:tbl>
      <w:tblPr>
        <w:tblW w:w="8880" w:type="dxa"/>
        <w:tblCellMar>
          <w:left w:w="70" w:type="dxa"/>
          <w:right w:w="70" w:type="dxa"/>
        </w:tblCellMar>
        <w:tblLook w:val="04A0" w:firstRow="1" w:lastRow="0" w:firstColumn="1" w:lastColumn="0" w:noHBand="0" w:noVBand="1"/>
      </w:tblPr>
      <w:tblGrid>
        <w:gridCol w:w="4080"/>
        <w:gridCol w:w="1200"/>
        <w:gridCol w:w="1200"/>
        <w:gridCol w:w="1200"/>
        <w:gridCol w:w="1200"/>
      </w:tblGrid>
      <w:tr w:rsidR="00D706B4" w:rsidRPr="00D706B4" w14:paraId="61D98AF9" w14:textId="77777777" w:rsidTr="00263072">
        <w:tc>
          <w:tcPr>
            <w:tcW w:w="4080" w:type="dxa"/>
            <w:tcBorders>
              <w:top w:val="nil"/>
              <w:left w:val="nil"/>
              <w:bottom w:val="nil"/>
              <w:right w:val="nil"/>
            </w:tcBorders>
            <w:shd w:val="clear" w:color="auto" w:fill="auto"/>
            <w:hideMark/>
          </w:tcPr>
          <w:bookmarkEnd w:id="160"/>
          <w:p w14:paraId="654CBB2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Note: the following timing (if not expressed different) is valid for the next workday</w:t>
            </w:r>
          </w:p>
        </w:tc>
        <w:tc>
          <w:tcPr>
            <w:tcW w:w="1200" w:type="dxa"/>
            <w:tcBorders>
              <w:top w:val="nil"/>
              <w:left w:val="nil"/>
              <w:bottom w:val="nil"/>
              <w:right w:val="nil"/>
            </w:tcBorders>
            <w:shd w:val="clear" w:color="auto" w:fill="auto"/>
            <w:noWrap/>
            <w:hideMark/>
          </w:tcPr>
          <w:p w14:paraId="4BB3B223"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nil"/>
              <w:right w:val="nil"/>
            </w:tcBorders>
            <w:shd w:val="clear" w:color="auto" w:fill="auto"/>
            <w:noWrap/>
            <w:hideMark/>
          </w:tcPr>
          <w:p w14:paraId="47C5B7B0"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c>
          <w:tcPr>
            <w:tcW w:w="1200" w:type="dxa"/>
            <w:tcBorders>
              <w:top w:val="nil"/>
              <w:left w:val="nil"/>
              <w:bottom w:val="nil"/>
              <w:right w:val="nil"/>
            </w:tcBorders>
            <w:shd w:val="clear" w:color="auto" w:fill="auto"/>
            <w:noWrap/>
            <w:hideMark/>
          </w:tcPr>
          <w:p w14:paraId="0724C604"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c>
          <w:tcPr>
            <w:tcW w:w="1200" w:type="dxa"/>
            <w:tcBorders>
              <w:top w:val="nil"/>
              <w:left w:val="nil"/>
              <w:bottom w:val="nil"/>
              <w:right w:val="nil"/>
            </w:tcBorders>
            <w:shd w:val="clear" w:color="auto" w:fill="auto"/>
            <w:noWrap/>
            <w:hideMark/>
          </w:tcPr>
          <w:p w14:paraId="28CD2A39"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r>
      <w:tr w:rsidR="00D706B4" w:rsidRPr="00D706B4" w14:paraId="3D9A2348" w14:textId="77777777" w:rsidTr="00263072">
        <w:tc>
          <w:tcPr>
            <w:tcW w:w="4080" w:type="dxa"/>
            <w:tcBorders>
              <w:top w:val="nil"/>
              <w:left w:val="nil"/>
              <w:bottom w:val="nil"/>
              <w:right w:val="nil"/>
            </w:tcBorders>
            <w:shd w:val="clear" w:color="auto" w:fill="auto"/>
            <w:noWrap/>
            <w:hideMark/>
          </w:tcPr>
          <w:p w14:paraId="71B54A1F"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c>
          <w:tcPr>
            <w:tcW w:w="1200" w:type="dxa"/>
            <w:tcBorders>
              <w:top w:val="nil"/>
              <w:left w:val="nil"/>
              <w:bottom w:val="nil"/>
              <w:right w:val="nil"/>
            </w:tcBorders>
            <w:shd w:val="clear" w:color="auto" w:fill="auto"/>
            <w:noWrap/>
            <w:hideMark/>
          </w:tcPr>
          <w:p w14:paraId="52E97508"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c>
          <w:tcPr>
            <w:tcW w:w="1200" w:type="dxa"/>
            <w:tcBorders>
              <w:top w:val="nil"/>
              <w:left w:val="nil"/>
              <w:bottom w:val="nil"/>
              <w:right w:val="nil"/>
            </w:tcBorders>
            <w:shd w:val="clear" w:color="auto" w:fill="auto"/>
            <w:noWrap/>
            <w:hideMark/>
          </w:tcPr>
          <w:p w14:paraId="613B91CA"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c>
          <w:tcPr>
            <w:tcW w:w="1200" w:type="dxa"/>
            <w:tcBorders>
              <w:top w:val="nil"/>
              <w:left w:val="nil"/>
              <w:bottom w:val="nil"/>
              <w:right w:val="nil"/>
            </w:tcBorders>
            <w:shd w:val="clear" w:color="auto" w:fill="auto"/>
            <w:noWrap/>
            <w:hideMark/>
          </w:tcPr>
          <w:p w14:paraId="4554E313"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c>
          <w:tcPr>
            <w:tcW w:w="1200" w:type="dxa"/>
            <w:tcBorders>
              <w:top w:val="nil"/>
              <w:left w:val="nil"/>
              <w:bottom w:val="nil"/>
              <w:right w:val="nil"/>
            </w:tcBorders>
            <w:shd w:val="clear" w:color="auto" w:fill="auto"/>
            <w:noWrap/>
            <w:hideMark/>
          </w:tcPr>
          <w:p w14:paraId="649830EF"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r>
      <w:tr w:rsidR="00715EBE" w:rsidRPr="00D706B4" w14:paraId="022E149E" w14:textId="77777777" w:rsidTr="000E6581">
        <w:tc>
          <w:tcPr>
            <w:tcW w:w="4080" w:type="dxa"/>
            <w:tcBorders>
              <w:top w:val="single" w:sz="8" w:space="0" w:color="auto"/>
              <w:left w:val="single" w:sz="8" w:space="0" w:color="auto"/>
              <w:bottom w:val="nil"/>
              <w:right w:val="nil"/>
            </w:tcBorders>
            <w:shd w:val="clear" w:color="auto" w:fill="auto"/>
            <w:noWrap/>
            <w:hideMark/>
          </w:tcPr>
          <w:p w14:paraId="5D484E8E" w14:textId="77777777" w:rsidR="00D706B4" w:rsidRPr="00632FF6" w:rsidRDefault="00D706B4" w:rsidP="00D706B4">
            <w:pPr>
              <w:spacing w:after="0" w:line="240" w:lineRule="auto"/>
              <w:jc w:val="left"/>
              <w:rPr>
                <w:rFonts w:ascii="Arial" w:eastAsia="Times New Roman" w:hAnsi="Arial" w:cs="Arial"/>
                <w:b/>
                <w:bCs/>
                <w:color w:val="000000"/>
                <w:sz w:val="18"/>
                <w:szCs w:val="18"/>
                <w:lang w:eastAsia="de-DE"/>
              </w:rPr>
            </w:pPr>
            <w:r w:rsidRPr="00632FF6">
              <w:rPr>
                <w:rFonts w:ascii="Arial" w:eastAsia="Times New Roman" w:hAnsi="Arial" w:cs="Arial"/>
                <w:b/>
                <w:bCs/>
                <w:color w:val="000000"/>
                <w:sz w:val="18"/>
                <w:szCs w:val="18"/>
                <w:lang w:eastAsia="de-DE"/>
              </w:rPr>
              <w:t>Timing of daily data delivery exchange</w:t>
            </w:r>
          </w:p>
        </w:tc>
        <w:tc>
          <w:tcPr>
            <w:tcW w:w="1200" w:type="dxa"/>
            <w:tcBorders>
              <w:top w:val="single" w:sz="8" w:space="0" w:color="auto"/>
              <w:left w:val="single" w:sz="4" w:space="0" w:color="auto"/>
              <w:bottom w:val="nil"/>
              <w:right w:val="nil"/>
            </w:tcBorders>
            <w:shd w:val="clear" w:color="auto" w:fill="auto"/>
            <w:noWrap/>
            <w:hideMark/>
          </w:tcPr>
          <w:p w14:paraId="39FA8FC7"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single" w:sz="8" w:space="0" w:color="auto"/>
              <w:left w:val="nil"/>
              <w:bottom w:val="nil"/>
              <w:right w:val="single" w:sz="4" w:space="0" w:color="auto"/>
            </w:tcBorders>
            <w:shd w:val="clear" w:color="auto" w:fill="auto"/>
            <w:noWrap/>
            <w:hideMark/>
          </w:tcPr>
          <w:p w14:paraId="5C6A983D"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single" w:sz="8" w:space="0" w:color="auto"/>
              <w:left w:val="nil"/>
              <w:bottom w:val="nil"/>
              <w:right w:val="nil"/>
            </w:tcBorders>
            <w:shd w:val="clear" w:color="auto" w:fill="auto"/>
            <w:noWrap/>
            <w:hideMark/>
          </w:tcPr>
          <w:p w14:paraId="005F38ED"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single" w:sz="8" w:space="0" w:color="auto"/>
              <w:left w:val="nil"/>
              <w:bottom w:val="nil"/>
              <w:right w:val="single" w:sz="8" w:space="0" w:color="auto"/>
            </w:tcBorders>
            <w:shd w:val="clear" w:color="auto" w:fill="auto"/>
            <w:noWrap/>
            <w:hideMark/>
          </w:tcPr>
          <w:p w14:paraId="60178AA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r>
      <w:tr w:rsidR="00AD04F9" w:rsidRPr="00D706B4" w14:paraId="5BD7337F" w14:textId="77777777" w:rsidTr="00263072">
        <w:tc>
          <w:tcPr>
            <w:tcW w:w="4080" w:type="dxa"/>
            <w:tcBorders>
              <w:top w:val="nil"/>
              <w:left w:val="single" w:sz="8" w:space="0" w:color="auto"/>
              <w:bottom w:val="nil"/>
              <w:right w:val="nil"/>
            </w:tcBorders>
            <w:shd w:val="clear" w:color="auto" w:fill="auto"/>
            <w:noWrap/>
            <w:hideMark/>
          </w:tcPr>
          <w:p w14:paraId="3CD98FE5"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2400" w:type="dxa"/>
            <w:gridSpan w:val="2"/>
            <w:tcBorders>
              <w:top w:val="nil"/>
              <w:left w:val="single" w:sz="4" w:space="0" w:color="auto"/>
              <w:bottom w:val="nil"/>
              <w:right w:val="single" w:sz="4" w:space="0" w:color="000000"/>
            </w:tcBorders>
            <w:shd w:val="clear" w:color="auto" w:fill="auto"/>
            <w:noWrap/>
            <w:hideMark/>
          </w:tcPr>
          <w:p w14:paraId="01721B44"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data only for one day</w:t>
            </w:r>
          </w:p>
        </w:tc>
        <w:tc>
          <w:tcPr>
            <w:tcW w:w="2400" w:type="dxa"/>
            <w:gridSpan w:val="2"/>
            <w:tcBorders>
              <w:top w:val="nil"/>
              <w:left w:val="nil"/>
              <w:bottom w:val="nil"/>
              <w:right w:val="single" w:sz="8" w:space="0" w:color="000000"/>
            </w:tcBorders>
            <w:shd w:val="clear" w:color="auto" w:fill="auto"/>
            <w:hideMark/>
          </w:tcPr>
          <w:p w14:paraId="118CA65F"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xml:space="preserve">Data for more than one Day </w:t>
            </w:r>
          </w:p>
        </w:tc>
      </w:tr>
      <w:tr w:rsidR="00D706B4" w:rsidRPr="00D706B4" w14:paraId="73FA885D" w14:textId="77777777" w:rsidTr="00263072">
        <w:tc>
          <w:tcPr>
            <w:tcW w:w="4080" w:type="dxa"/>
            <w:tcBorders>
              <w:top w:val="nil"/>
              <w:left w:val="single" w:sz="8" w:space="0" w:color="auto"/>
              <w:bottom w:val="nil"/>
              <w:right w:val="nil"/>
            </w:tcBorders>
            <w:shd w:val="clear" w:color="auto" w:fill="auto"/>
            <w:noWrap/>
            <w:hideMark/>
          </w:tcPr>
          <w:p w14:paraId="69DF823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single" w:sz="4" w:space="0" w:color="auto"/>
              <w:bottom w:val="nil"/>
              <w:right w:val="nil"/>
            </w:tcBorders>
            <w:shd w:val="clear" w:color="auto" w:fill="auto"/>
            <w:noWrap/>
            <w:hideMark/>
          </w:tcPr>
          <w:p w14:paraId="3E9254F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nil"/>
              <w:bottom w:val="nil"/>
              <w:right w:val="single" w:sz="4" w:space="0" w:color="auto"/>
            </w:tcBorders>
            <w:shd w:val="clear" w:color="auto" w:fill="auto"/>
            <w:noWrap/>
            <w:hideMark/>
          </w:tcPr>
          <w:p w14:paraId="0ED14B7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2400" w:type="dxa"/>
            <w:gridSpan w:val="2"/>
            <w:tcBorders>
              <w:top w:val="nil"/>
              <w:left w:val="nil"/>
              <w:bottom w:val="nil"/>
              <w:right w:val="single" w:sz="8" w:space="0" w:color="000000"/>
            </w:tcBorders>
            <w:shd w:val="clear" w:color="auto" w:fill="auto"/>
            <w:hideMark/>
          </w:tcPr>
          <w:p w14:paraId="0E47CFC6"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(e.g. after weekend, holidays etc.)</w:t>
            </w:r>
          </w:p>
        </w:tc>
      </w:tr>
      <w:tr w:rsidR="00715EBE" w:rsidRPr="00D706B4" w14:paraId="0AFDF9CD" w14:textId="77777777" w:rsidTr="000E6581">
        <w:tc>
          <w:tcPr>
            <w:tcW w:w="4080" w:type="dxa"/>
            <w:tcBorders>
              <w:top w:val="nil"/>
              <w:left w:val="single" w:sz="8" w:space="0" w:color="auto"/>
              <w:bottom w:val="single" w:sz="8" w:space="0" w:color="auto"/>
              <w:right w:val="nil"/>
            </w:tcBorders>
            <w:shd w:val="clear" w:color="auto" w:fill="auto"/>
            <w:hideMark/>
          </w:tcPr>
          <w:p w14:paraId="6D4E42C8"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Action</w:t>
            </w:r>
          </w:p>
        </w:tc>
        <w:tc>
          <w:tcPr>
            <w:tcW w:w="1200" w:type="dxa"/>
            <w:tcBorders>
              <w:top w:val="nil"/>
              <w:left w:val="single" w:sz="4" w:space="0" w:color="auto"/>
              <w:bottom w:val="single" w:sz="8" w:space="0" w:color="auto"/>
              <w:right w:val="nil"/>
            </w:tcBorders>
            <w:shd w:val="clear" w:color="auto" w:fill="auto"/>
            <w:hideMark/>
          </w:tcPr>
          <w:p w14:paraId="6E64DB2E"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Gate closure</w:t>
            </w:r>
          </w:p>
        </w:tc>
        <w:tc>
          <w:tcPr>
            <w:tcW w:w="1200" w:type="dxa"/>
            <w:tcBorders>
              <w:top w:val="nil"/>
              <w:left w:val="nil"/>
              <w:bottom w:val="single" w:sz="8" w:space="0" w:color="auto"/>
              <w:right w:val="single" w:sz="4" w:space="0" w:color="auto"/>
            </w:tcBorders>
            <w:shd w:val="clear" w:color="auto" w:fill="auto"/>
            <w:hideMark/>
          </w:tcPr>
          <w:p w14:paraId="2E395C89"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Cut Off time (Agreement deatline)</w:t>
            </w:r>
          </w:p>
        </w:tc>
        <w:tc>
          <w:tcPr>
            <w:tcW w:w="1200" w:type="dxa"/>
            <w:tcBorders>
              <w:top w:val="nil"/>
              <w:left w:val="nil"/>
              <w:bottom w:val="single" w:sz="8" w:space="0" w:color="auto"/>
              <w:right w:val="nil"/>
            </w:tcBorders>
            <w:shd w:val="clear" w:color="auto" w:fill="auto"/>
            <w:hideMark/>
          </w:tcPr>
          <w:p w14:paraId="699FD21A"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Gate closure</w:t>
            </w:r>
          </w:p>
        </w:tc>
        <w:tc>
          <w:tcPr>
            <w:tcW w:w="1200" w:type="dxa"/>
            <w:tcBorders>
              <w:top w:val="nil"/>
              <w:left w:val="nil"/>
              <w:bottom w:val="single" w:sz="8" w:space="0" w:color="auto"/>
              <w:right w:val="single" w:sz="8" w:space="0" w:color="auto"/>
            </w:tcBorders>
            <w:shd w:val="clear" w:color="auto" w:fill="auto"/>
            <w:hideMark/>
          </w:tcPr>
          <w:p w14:paraId="334C2396"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Cut Off time (Agreement deatline)</w:t>
            </w:r>
          </w:p>
        </w:tc>
      </w:tr>
      <w:tr w:rsidR="00715EBE" w:rsidRPr="00D706B4" w14:paraId="46088F67" w14:textId="77777777" w:rsidTr="000E6581">
        <w:tc>
          <w:tcPr>
            <w:tcW w:w="4080" w:type="dxa"/>
            <w:tcBorders>
              <w:top w:val="nil"/>
              <w:left w:val="single" w:sz="8" w:space="0" w:color="auto"/>
              <w:bottom w:val="nil"/>
              <w:right w:val="nil"/>
            </w:tcBorders>
            <w:shd w:val="clear" w:color="auto" w:fill="auto"/>
            <w:hideMark/>
          </w:tcPr>
          <w:p w14:paraId="4C64EBD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Meter data delivery (SOMA) to neighbouring TSO</w:t>
            </w:r>
          </w:p>
        </w:tc>
        <w:tc>
          <w:tcPr>
            <w:tcW w:w="1200" w:type="dxa"/>
            <w:tcBorders>
              <w:top w:val="nil"/>
              <w:left w:val="single" w:sz="4" w:space="0" w:color="auto"/>
              <w:bottom w:val="nil"/>
              <w:right w:val="nil"/>
            </w:tcBorders>
            <w:shd w:val="clear" w:color="auto" w:fill="auto"/>
            <w:noWrap/>
            <w:hideMark/>
          </w:tcPr>
          <w:p w14:paraId="56B76932"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10:00 AM</w:t>
            </w:r>
          </w:p>
        </w:tc>
        <w:tc>
          <w:tcPr>
            <w:tcW w:w="1200" w:type="dxa"/>
            <w:tcBorders>
              <w:top w:val="nil"/>
              <w:left w:val="nil"/>
              <w:bottom w:val="nil"/>
              <w:right w:val="single" w:sz="4" w:space="0" w:color="auto"/>
            </w:tcBorders>
            <w:shd w:val="clear" w:color="auto" w:fill="auto"/>
            <w:noWrap/>
            <w:hideMark/>
          </w:tcPr>
          <w:p w14:paraId="554B8CD0"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1:00 PM</w:t>
            </w:r>
          </w:p>
        </w:tc>
        <w:tc>
          <w:tcPr>
            <w:tcW w:w="1200" w:type="dxa"/>
            <w:tcBorders>
              <w:top w:val="nil"/>
              <w:left w:val="nil"/>
              <w:bottom w:val="nil"/>
              <w:right w:val="nil"/>
            </w:tcBorders>
            <w:shd w:val="clear" w:color="auto" w:fill="auto"/>
            <w:noWrap/>
            <w:hideMark/>
          </w:tcPr>
          <w:p w14:paraId="4E65E5BF"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10:00 AM</w:t>
            </w:r>
          </w:p>
        </w:tc>
        <w:tc>
          <w:tcPr>
            <w:tcW w:w="1200" w:type="dxa"/>
            <w:tcBorders>
              <w:top w:val="nil"/>
              <w:left w:val="nil"/>
              <w:bottom w:val="nil"/>
              <w:right w:val="single" w:sz="8" w:space="0" w:color="auto"/>
            </w:tcBorders>
            <w:shd w:val="clear" w:color="auto" w:fill="auto"/>
            <w:noWrap/>
            <w:hideMark/>
          </w:tcPr>
          <w:p w14:paraId="362BB697"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1:00 PM</w:t>
            </w:r>
          </w:p>
        </w:tc>
      </w:tr>
      <w:tr w:rsidR="00715EBE" w:rsidRPr="00D706B4" w14:paraId="0D277E7B" w14:textId="77777777" w:rsidTr="000E6581">
        <w:tc>
          <w:tcPr>
            <w:tcW w:w="4080" w:type="dxa"/>
            <w:tcBorders>
              <w:top w:val="nil"/>
              <w:left w:val="single" w:sz="8" w:space="0" w:color="auto"/>
              <w:bottom w:val="nil"/>
              <w:right w:val="nil"/>
            </w:tcBorders>
            <w:shd w:val="clear" w:color="auto" w:fill="auto"/>
            <w:hideMark/>
          </w:tcPr>
          <w:p w14:paraId="5172465F" w14:textId="5FBF4064"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xml:space="preserve">Delivery of ANES from VP to </w:t>
            </w:r>
            <w:r w:rsidR="002E2691">
              <w:rPr>
                <w:rFonts w:ascii="Arial" w:eastAsia="Times New Roman" w:hAnsi="Arial" w:cs="Arial"/>
                <w:color w:val="000000"/>
                <w:sz w:val="18"/>
                <w:szCs w:val="18"/>
                <w:lang w:eastAsia="de-DE"/>
              </w:rPr>
              <w:t>Coordination</w:t>
            </w:r>
            <w:r w:rsidRPr="00632FF6">
              <w:rPr>
                <w:rFonts w:ascii="Arial" w:eastAsia="Times New Roman" w:hAnsi="Arial" w:cs="Arial"/>
                <w:color w:val="000000"/>
                <w:sz w:val="18"/>
                <w:szCs w:val="18"/>
                <w:lang w:eastAsia="de-DE"/>
              </w:rPr>
              <w:t xml:space="preserve"> Centre</w:t>
            </w:r>
          </w:p>
        </w:tc>
        <w:tc>
          <w:tcPr>
            <w:tcW w:w="1200" w:type="dxa"/>
            <w:tcBorders>
              <w:top w:val="nil"/>
              <w:left w:val="single" w:sz="4" w:space="0" w:color="auto"/>
              <w:bottom w:val="nil"/>
              <w:right w:val="nil"/>
            </w:tcBorders>
            <w:shd w:val="clear" w:color="auto" w:fill="auto"/>
            <w:noWrap/>
            <w:hideMark/>
          </w:tcPr>
          <w:p w14:paraId="28029031"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nil"/>
              <w:bottom w:val="nil"/>
              <w:right w:val="single" w:sz="4" w:space="0" w:color="auto"/>
            </w:tcBorders>
            <w:shd w:val="clear" w:color="auto" w:fill="auto"/>
            <w:noWrap/>
            <w:hideMark/>
          </w:tcPr>
          <w:p w14:paraId="05626DF0"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12:00 PM</w:t>
            </w:r>
          </w:p>
        </w:tc>
        <w:tc>
          <w:tcPr>
            <w:tcW w:w="1200" w:type="dxa"/>
            <w:tcBorders>
              <w:top w:val="nil"/>
              <w:left w:val="nil"/>
              <w:bottom w:val="nil"/>
              <w:right w:val="nil"/>
            </w:tcBorders>
            <w:shd w:val="clear" w:color="auto" w:fill="auto"/>
            <w:noWrap/>
            <w:hideMark/>
          </w:tcPr>
          <w:p w14:paraId="2C204444"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p>
        </w:tc>
        <w:tc>
          <w:tcPr>
            <w:tcW w:w="1200" w:type="dxa"/>
            <w:tcBorders>
              <w:top w:val="nil"/>
              <w:left w:val="nil"/>
              <w:bottom w:val="nil"/>
              <w:right w:val="single" w:sz="8" w:space="0" w:color="auto"/>
            </w:tcBorders>
            <w:shd w:val="clear" w:color="auto" w:fill="auto"/>
            <w:noWrap/>
            <w:hideMark/>
          </w:tcPr>
          <w:p w14:paraId="6CE7A165"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 </w:t>
            </w:r>
          </w:p>
        </w:tc>
      </w:tr>
      <w:tr w:rsidR="00715EBE" w:rsidRPr="00D706B4" w14:paraId="0ED433A1" w14:textId="77777777" w:rsidTr="000E6581">
        <w:tc>
          <w:tcPr>
            <w:tcW w:w="4080" w:type="dxa"/>
            <w:tcBorders>
              <w:top w:val="nil"/>
              <w:left w:val="single" w:sz="8" w:space="0" w:color="auto"/>
              <w:bottom w:val="nil"/>
              <w:right w:val="nil"/>
            </w:tcBorders>
            <w:shd w:val="clear" w:color="auto" w:fill="auto"/>
            <w:hideMark/>
          </w:tcPr>
          <w:p w14:paraId="3F2BDF9E"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Accounting data delivery (SOAM) to neighbouring TSO</w:t>
            </w:r>
          </w:p>
        </w:tc>
        <w:tc>
          <w:tcPr>
            <w:tcW w:w="1200" w:type="dxa"/>
            <w:tcBorders>
              <w:top w:val="nil"/>
              <w:left w:val="single" w:sz="4" w:space="0" w:color="auto"/>
              <w:bottom w:val="nil"/>
              <w:right w:val="nil"/>
            </w:tcBorders>
            <w:shd w:val="clear" w:color="auto" w:fill="auto"/>
            <w:noWrap/>
            <w:hideMark/>
          </w:tcPr>
          <w:p w14:paraId="112E8D50"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1:30 PM</w:t>
            </w:r>
          </w:p>
        </w:tc>
        <w:tc>
          <w:tcPr>
            <w:tcW w:w="1200" w:type="dxa"/>
            <w:tcBorders>
              <w:top w:val="nil"/>
              <w:left w:val="nil"/>
              <w:bottom w:val="nil"/>
              <w:right w:val="single" w:sz="4" w:space="0" w:color="auto"/>
            </w:tcBorders>
            <w:shd w:val="clear" w:color="auto" w:fill="auto"/>
            <w:noWrap/>
            <w:hideMark/>
          </w:tcPr>
          <w:p w14:paraId="41EFF288"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2:00 PM</w:t>
            </w:r>
          </w:p>
        </w:tc>
        <w:tc>
          <w:tcPr>
            <w:tcW w:w="1200" w:type="dxa"/>
            <w:tcBorders>
              <w:top w:val="nil"/>
              <w:left w:val="nil"/>
              <w:bottom w:val="nil"/>
              <w:right w:val="nil"/>
            </w:tcBorders>
            <w:shd w:val="clear" w:color="auto" w:fill="auto"/>
            <w:noWrap/>
            <w:hideMark/>
          </w:tcPr>
          <w:p w14:paraId="2D381549"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1:30 PM</w:t>
            </w:r>
          </w:p>
        </w:tc>
        <w:tc>
          <w:tcPr>
            <w:tcW w:w="1200" w:type="dxa"/>
            <w:tcBorders>
              <w:top w:val="nil"/>
              <w:left w:val="nil"/>
              <w:bottom w:val="nil"/>
              <w:right w:val="single" w:sz="8" w:space="0" w:color="auto"/>
            </w:tcBorders>
            <w:shd w:val="clear" w:color="auto" w:fill="auto"/>
            <w:noWrap/>
            <w:hideMark/>
          </w:tcPr>
          <w:p w14:paraId="5B956F1B"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4:00 PM</w:t>
            </w:r>
          </w:p>
        </w:tc>
      </w:tr>
      <w:tr w:rsidR="00715EBE" w:rsidRPr="00D706B4" w14:paraId="12FBC684" w14:textId="77777777" w:rsidTr="000E6581">
        <w:tc>
          <w:tcPr>
            <w:tcW w:w="4080" w:type="dxa"/>
            <w:tcBorders>
              <w:top w:val="nil"/>
              <w:left w:val="single" w:sz="8" w:space="0" w:color="auto"/>
              <w:bottom w:val="nil"/>
              <w:right w:val="nil"/>
            </w:tcBorders>
            <w:shd w:val="clear" w:color="auto" w:fill="auto"/>
            <w:hideMark/>
          </w:tcPr>
          <w:p w14:paraId="7DCD72A3" w14:textId="2FD25FEA"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Delivery of agreed Accounting Data (SOVA) by TSO to LFC Area</w:t>
            </w:r>
            <w:r>
              <w:rPr>
                <w:rFonts w:ascii="Arial" w:eastAsia="Times New Roman" w:hAnsi="Arial" w:cs="Arial"/>
                <w:color w:val="000000"/>
                <w:sz w:val="18"/>
                <w:szCs w:val="18"/>
                <w:lang w:eastAsia="de-DE"/>
              </w:rPr>
              <w:t xml:space="preserve">. </w:t>
            </w:r>
            <w:r w:rsidRPr="00B50A88">
              <w:rPr>
                <w:rFonts w:ascii="Arial" w:eastAsia="Times New Roman" w:hAnsi="Arial" w:cs="Arial"/>
                <w:color w:val="000000"/>
                <w:sz w:val="18"/>
                <w:szCs w:val="18"/>
                <w:lang w:eastAsia="de-DE"/>
              </w:rPr>
              <w:t>Note: if disagreement: available data have to be sent</w:t>
            </w:r>
          </w:p>
        </w:tc>
        <w:tc>
          <w:tcPr>
            <w:tcW w:w="1200" w:type="dxa"/>
            <w:tcBorders>
              <w:top w:val="nil"/>
              <w:left w:val="single" w:sz="4" w:space="0" w:color="auto"/>
              <w:bottom w:val="nil"/>
              <w:right w:val="nil"/>
            </w:tcBorders>
            <w:shd w:val="clear" w:color="auto" w:fill="auto"/>
            <w:noWrap/>
            <w:hideMark/>
          </w:tcPr>
          <w:p w14:paraId="4DB3DE89"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nil"/>
              <w:bottom w:val="nil"/>
              <w:right w:val="single" w:sz="4" w:space="0" w:color="auto"/>
            </w:tcBorders>
            <w:shd w:val="clear" w:color="auto" w:fill="auto"/>
            <w:noWrap/>
            <w:hideMark/>
          </w:tcPr>
          <w:p w14:paraId="086D0969"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2:00 PM</w:t>
            </w:r>
          </w:p>
        </w:tc>
        <w:tc>
          <w:tcPr>
            <w:tcW w:w="1200" w:type="dxa"/>
            <w:tcBorders>
              <w:top w:val="nil"/>
              <w:left w:val="nil"/>
              <w:bottom w:val="nil"/>
              <w:right w:val="nil"/>
            </w:tcBorders>
            <w:shd w:val="clear" w:color="auto" w:fill="auto"/>
            <w:noWrap/>
            <w:hideMark/>
          </w:tcPr>
          <w:p w14:paraId="5A0EBA3D"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nil"/>
              <w:right w:val="single" w:sz="8" w:space="0" w:color="auto"/>
            </w:tcBorders>
            <w:shd w:val="clear" w:color="auto" w:fill="auto"/>
            <w:noWrap/>
            <w:hideMark/>
          </w:tcPr>
          <w:p w14:paraId="020B9FBD"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4:00 PM</w:t>
            </w:r>
          </w:p>
        </w:tc>
      </w:tr>
      <w:tr w:rsidR="00715EBE" w:rsidRPr="00D706B4" w14:paraId="0CEC3BEB" w14:textId="77777777" w:rsidTr="000E6581">
        <w:tc>
          <w:tcPr>
            <w:tcW w:w="4080" w:type="dxa"/>
            <w:tcBorders>
              <w:top w:val="nil"/>
              <w:left w:val="single" w:sz="8" w:space="0" w:color="auto"/>
              <w:bottom w:val="nil"/>
              <w:right w:val="nil"/>
            </w:tcBorders>
            <w:shd w:val="clear" w:color="auto" w:fill="auto"/>
            <w:hideMark/>
          </w:tcPr>
          <w:p w14:paraId="57A71252"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Delivery of agreed Accounting Data (SOVA) to LFC Block</w:t>
            </w:r>
          </w:p>
        </w:tc>
        <w:tc>
          <w:tcPr>
            <w:tcW w:w="1200" w:type="dxa"/>
            <w:tcBorders>
              <w:top w:val="nil"/>
              <w:left w:val="single" w:sz="4" w:space="0" w:color="auto"/>
              <w:bottom w:val="nil"/>
              <w:right w:val="nil"/>
            </w:tcBorders>
            <w:shd w:val="clear" w:color="auto" w:fill="auto"/>
            <w:noWrap/>
            <w:hideMark/>
          </w:tcPr>
          <w:p w14:paraId="3F76AFCD"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nil"/>
              <w:bottom w:val="nil"/>
              <w:right w:val="single" w:sz="4" w:space="0" w:color="auto"/>
            </w:tcBorders>
            <w:shd w:val="clear" w:color="auto" w:fill="auto"/>
            <w:noWrap/>
            <w:hideMark/>
          </w:tcPr>
          <w:p w14:paraId="47432769"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2:00 PM</w:t>
            </w:r>
          </w:p>
        </w:tc>
        <w:tc>
          <w:tcPr>
            <w:tcW w:w="1200" w:type="dxa"/>
            <w:tcBorders>
              <w:top w:val="nil"/>
              <w:left w:val="nil"/>
              <w:bottom w:val="nil"/>
              <w:right w:val="nil"/>
            </w:tcBorders>
            <w:shd w:val="clear" w:color="auto" w:fill="auto"/>
            <w:noWrap/>
            <w:hideMark/>
          </w:tcPr>
          <w:p w14:paraId="764BBC1C"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nil"/>
              <w:right w:val="single" w:sz="8" w:space="0" w:color="auto"/>
            </w:tcBorders>
            <w:shd w:val="clear" w:color="auto" w:fill="auto"/>
            <w:noWrap/>
            <w:hideMark/>
          </w:tcPr>
          <w:p w14:paraId="527C7DA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4:00 PM</w:t>
            </w:r>
          </w:p>
        </w:tc>
      </w:tr>
      <w:tr w:rsidR="00715EBE" w:rsidRPr="00D706B4" w14:paraId="259E2A35" w14:textId="77777777" w:rsidTr="000E6581">
        <w:tc>
          <w:tcPr>
            <w:tcW w:w="4080" w:type="dxa"/>
            <w:tcBorders>
              <w:top w:val="nil"/>
              <w:left w:val="single" w:sz="8" w:space="0" w:color="auto"/>
              <w:bottom w:val="nil"/>
              <w:right w:val="nil"/>
            </w:tcBorders>
            <w:shd w:val="clear" w:color="auto" w:fill="auto"/>
            <w:hideMark/>
          </w:tcPr>
          <w:p w14:paraId="5DC36336" w14:textId="4D4C89D0"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Delivery of agree</w:t>
            </w:r>
            <w:r w:rsidR="002C0EAE">
              <w:rPr>
                <w:rFonts w:ascii="Arial" w:eastAsia="Times New Roman" w:hAnsi="Arial" w:cs="Arial"/>
                <w:color w:val="000000"/>
                <w:sz w:val="18"/>
                <w:szCs w:val="18"/>
                <w:lang w:eastAsia="de-DE"/>
              </w:rPr>
              <w:t xml:space="preserve">d Accounting Data (SOVA) to </w:t>
            </w:r>
            <w:r w:rsidR="002E2691">
              <w:rPr>
                <w:rFonts w:ascii="Arial" w:eastAsia="Times New Roman" w:hAnsi="Arial" w:cs="Arial"/>
                <w:color w:val="000000"/>
                <w:sz w:val="18"/>
                <w:szCs w:val="18"/>
                <w:lang w:eastAsia="de-DE"/>
              </w:rPr>
              <w:t>Coordination</w:t>
            </w:r>
            <w:r w:rsidRPr="00632FF6">
              <w:rPr>
                <w:rFonts w:ascii="Arial" w:eastAsia="Times New Roman" w:hAnsi="Arial" w:cs="Arial"/>
                <w:color w:val="000000"/>
                <w:sz w:val="18"/>
                <w:szCs w:val="18"/>
                <w:lang w:eastAsia="de-DE"/>
              </w:rPr>
              <w:t xml:space="preserve"> Centre</w:t>
            </w:r>
          </w:p>
        </w:tc>
        <w:tc>
          <w:tcPr>
            <w:tcW w:w="1200" w:type="dxa"/>
            <w:tcBorders>
              <w:top w:val="nil"/>
              <w:left w:val="single" w:sz="4" w:space="0" w:color="auto"/>
              <w:bottom w:val="nil"/>
              <w:right w:val="nil"/>
            </w:tcBorders>
            <w:shd w:val="clear" w:color="auto" w:fill="auto"/>
            <w:noWrap/>
            <w:hideMark/>
          </w:tcPr>
          <w:p w14:paraId="2BC1FB57"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nil"/>
              <w:bottom w:val="nil"/>
              <w:right w:val="single" w:sz="4" w:space="0" w:color="auto"/>
            </w:tcBorders>
            <w:shd w:val="clear" w:color="auto" w:fill="auto"/>
            <w:noWrap/>
            <w:hideMark/>
          </w:tcPr>
          <w:p w14:paraId="4BD40196"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2:00 PM</w:t>
            </w:r>
          </w:p>
        </w:tc>
        <w:tc>
          <w:tcPr>
            <w:tcW w:w="1200" w:type="dxa"/>
            <w:tcBorders>
              <w:top w:val="nil"/>
              <w:left w:val="nil"/>
              <w:bottom w:val="nil"/>
              <w:right w:val="nil"/>
            </w:tcBorders>
            <w:shd w:val="clear" w:color="auto" w:fill="auto"/>
            <w:noWrap/>
            <w:hideMark/>
          </w:tcPr>
          <w:p w14:paraId="1F4DAE30"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p>
        </w:tc>
        <w:tc>
          <w:tcPr>
            <w:tcW w:w="1200" w:type="dxa"/>
            <w:tcBorders>
              <w:top w:val="nil"/>
              <w:left w:val="nil"/>
              <w:bottom w:val="nil"/>
              <w:right w:val="single" w:sz="8" w:space="0" w:color="auto"/>
            </w:tcBorders>
            <w:shd w:val="clear" w:color="auto" w:fill="auto"/>
            <w:noWrap/>
            <w:hideMark/>
          </w:tcPr>
          <w:p w14:paraId="022020FD"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4:00 PM</w:t>
            </w:r>
          </w:p>
        </w:tc>
      </w:tr>
      <w:tr w:rsidR="00715EBE" w:rsidRPr="00D706B4" w14:paraId="10B895A8" w14:textId="77777777" w:rsidTr="000E6581">
        <w:tc>
          <w:tcPr>
            <w:tcW w:w="4080" w:type="dxa"/>
            <w:tcBorders>
              <w:top w:val="nil"/>
              <w:left w:val="single" w:sz="8" w:space="0" w:color="auto"/>
              <w:bottom w:val="nil"/>
              <w:right w:val="nil"/>
            </w:tcBorders>
            <w:shd w:val="clear" w:color="auto" w:fill="auto"/>
            <w:hideMark/>
          </w:tcPr>
          <w:p w14:paraId="3FC5F1BF" w14:textId="0C4FD6B1"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xml:space="preserve">Accounting Data delivery to neighbouring </w:t>
            </w:r>
            <w:r w:rsidR="002E2691">
              <w:rPr>
                <w:rFonts w:ascii="Arial" w:eastAsia="Times New Roman" w:hAnsi="Arial" w:cs="Arial"/>
                <w:color w:val="000000"/>
                <w:sz w:val="18"/>
                <w:szCs w:val="18"/>
                <w:lang w:eastAsia="de-DE"/>
              </w:rPr>
              <w:t>Coordination</w:t>
            </w:r>
            <w:r w:rsidRPr="00632FF6">
              <w:rPr>
                <w:rFonts w:ascii="Arial" w:eastAsia="Times New Roman" w:hAnsi="Arial" w:cs="Arial"/>
                <w:color w:val="000000"/>
                <w:sz w:val="18"/>
                <w:szCs w:val="18"/>
                <w:lang w:eastAsia="de-DE"/>
              </w:rPr>
              <w:t xml:space="preserve"> Centre</w:t>
            </w:r>
          </w:p>
        </w:tc>
        <w:tc>
          <w:tcPr>
            <w:tcW w:w="1200" w:type="dxa"/>
            <w:tcBorders>
              <w:top w:val="nil"/>
              <w:left w:val="single" w:sz="4" w:space="0" w:color="auto"/>
              <w:bottom w:val="nil"/>
              <w:right w:val="nil"/>
            </w:tcBorders>
            <w:shd w:val="clear" w:color="auto" w:fill="auto"/>
            <w:noWrap/>
            <w:hideMark/>
          </w:tcPr>
          <w:p w14:paraId="27D80999"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nil"/>
              <w:bottom w:val="nil"/>
              <w:right w:val="single" w:sz="4" w:space="0" w:color="auto"/>
            </w:tcBorders>
            <w:shd w:val="clear" w:color="auto" w:fill="auto"/>
            <w:noWrap/>
            <w:hideMark/>
          </w:tcPr>
          <w:p w14:paraId="25F50AED"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3:15 PM</w:t>
            </w:r>
          </w:p>
        </w:tc>
        <w:tc>
          <w:tcPr>
            <w:tcW w:w="1200" w:type="dxa"/>
            <w:tcBorders>
              <w:top w:val="nil"/>
              <w:left w:val="nil"/>
              <w:bottom w:val="nil"/>
              <w:right w:val="nil"/>
            </w:tcBorders>
            <w:shd w:val="clear" w:color="auto" w:fill="auto"/>
            <w:noWrap/>
            <w:hideMark/>
          </w:tcPr>
          <w:p w14:paraId="44B0DF7E"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 </w:t>
            </w:r>
          </w:p>
        </w:tc>
        <w:tc>
          <w:tcPr>
            <w:tcW w:w="1200" w:type="dxa"/>
            <w:tcBorders>
              <w:top w:val="nil"/>
              <w:left w:val="nil"/>
              <w:bottom w:val="nil"/>
              <w:right w:val="single" w:sz="8" w:space="0" w:color="auto"/>
            </w:tcBorders>
            <w:shd w:val="clear" w:color="auto" w:fill="auto"/>
            <w:noWrap/>
            <w:hideMark/>
          </w:tcPr>
          <w:p w14:paraId="507AC3DB"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5:15 PM</w:t>
            </w:r>
          </w:p>
        </w:tc>
      </w:tr>
      <w:tr w:rsidR="00715EBE" w:rsidRPr="00D706B4" w14:paraId="79502018" w14:textId="77777777" w:rsidTr="000E6581">
        <w:tc>
          <w:tcPr>
            <w:tcW w:w="4080" w:type="dxa"/>
            <w:tcBorders>
              <w:top w:val="nil"/>
              <w:left w:val="single" w:sz="8" w:space="0" w:color="auto"/>
              <w:bottom w:val="nil"/>
              <w:right w:val="nil"/>
            </w:tcBorders>
            <w:shd w:val="clear" w:color="auto" w:fill="auto"/>
          </w:tcPr>
          <w:p w14:paraId="2E16C7D7" w14:textId="6DEC0DE1" w:rsidR="002C0EAE" w:rsidRPr="00D706B4" w:rsidRDefault="002C0EAE" w:rsidP="00D706B4">
            <w:pPr>
              <w:spacing w:after="0" w:line="240" w:lineRule="auto"/>
              <w:jc w:val="lef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Delivery of K-factors to </w:t>
            </w:r>
            <w:r w:rsidR="002E2691">
              <w:rPr>
                <w:rFonts w:ascii="Arial" w:eastAsia="Times New Roman" w:hAnsi="Arial" w:cs="Arial"/>
                <w:color w:val="000000"/>
                <w:sz w:val="18"/>
                <w:szCs w:val="18"/>
                <w:lang w:eastAsia="de-DE"/>
              </w:rPr>
              <w:t>Coordination</w:t>
            </w:r>
            <w:r>
              <w:rPr>
                <w:rFonts w:ascii="Arial" w:eastAsia="Times New Roman" w:hAnsi="Arial" w:cs="Arial"/>
                <w:color w:val="000000"/>
                <w:sz w:val="18"/>
                <w:szCs w:val="18"/>
                <w:lang w:eastAsia="de-DE"/>
              </w:rPr>
              <w:t xml:space="preserve"> Centre</w:t>
            </w:r>
          </w:p>
        </w:tc>
        <w:tc>
          <w:tcPr>
            <w:tcW w:w="1200" w:type="dxa"/>
            <w:tcBorders>
              <w:top w:val="nil"/>
              <w:left w:val="single" w:sz="4" w:space="0" w:color="auto"/>
              <w:bottom w:val="nil"/>
              <w:right w:val="nil"/>
            </w:tcBorders>
            <w:shd w:val="clear" w:color="auto" w:fill="auto"/>
            <w:noWrap/>
          </w:tcPr>
          <w:p w14:paraId="3AFD542E" w14:textId="77777777" w:rsidR="002C0EAE" w:rsidRPr="00D706B4" w:rsidRDefault="002C0EAE" w:rsidP="00D706B4">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nil"/>
              <w:right w:val="single" w:sz="4" w:space="0" w:color="auto"/>
            </w:tcBorders>
            <w:shd w:val="clear" w:color="auto" w:fill="auto"/>
            <w:noWrap/>
          </w:tcPr>
          <w:p w14:paraId="239330B8" w14:textId="3943819B" w:rsidR="002C0EAE" w:rsidRPr="00632FF6" w:rsidRDefault="002C0EAE" w:rsidP="00D706B4">
            <w:pPr>
              <w:spacing w:after="0" w:line="240" w:lineRule="auto"/>
              <w:jc w:val="lef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2:00 PM</w:t>
            </w:r>
          </w:p>
        </w:tc>
        <w:tc>
          <w:tcPr>
            <w:tcW w:w="1200" w:type="dxa"/>
            <w:tcBorders>
              <w:top w:val="nil"/>
              <w:left w:val="nil"/>
              <w:bottom w:val="nil"/>
              <w:right w:val="nil"/>
            </w:tcBorders>
            <w:shd w:val="clear" w:color="auto" w:fill="auto"/>
            <w:noWrap/>
          </w:tcPr>
          <w:p w14:paraId="60C0CBAC" w14:textId="77777777" w:rsidR="002C0EAE" w:rsidRPr="00632FF6" w:rsidRDefault="002C0EAE" w:rsidP="00D706B4">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nil"/>
              <w:right w:val="single" w:sz="8" w:space="0" w:color="auto"/>
            </w:tcBorders>
            <w:shd w:val="clear" w:color="auto" w:fill="auto"/>
            <w:noWrap/>
          </w:tcPr>
          <w:p w14:paraId="5F52749A" w14:textId="1F4DFFD1" w:rsidR="002C0EAE" w:rsidRPr="00632FF6" w:rsidRDefault="002C0EAE" w:rsidP="00D706B4">
            <w:pPr>
              <w:spacing w:after="0" w:line="240" w:lineRule="auto"/>
              <w:jc w:val="lef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2:00 PM</w:t>
            </w:r>
          </w:p>
        </w:tc>
      </w:tr>
      <w:tr w:rsidR="00715EBE" w:rsidRPr="00D706B4" w14:paraId="5F0430CF" w14:textId="77777777" w:rsidTr="000E6581">
        <w:tc>
          <w:tcPr>
            <w:tcW w:w="4080" w:type="dxa"/>
            <w:tcBorders>
              <w:top w:val="nil"/>
              <w:left w:val="single" w:sz="8" w:space="0" w:color="auto"/>
              <w:bottom w:val="single" w:sz="8" w:space="0" w:color="auto"/>
              <w:right w:val="nil"/>
            </w:tcBorders>
            <w:shd w:val="clear" w:color="auto" w:fill="auto"/>
          </w:tcPr>
          <w:p w14:paraId="51FA2053" w14:textId="13DD58D1" w:rsidR="002C0EAE" w:rsidRDefault="002C0EAE" w:rsidP="002C0EAE">
            <w:pPr>
              <w:spacing w:after="0" w:line="240" w:lineRule="auto"/>
              <w:jc w:val="lef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Delivery of DAMP to </w:t>
            </w:r>
            <w:r w:rsidR="002E2691">
              <w:rPr>
                <w:rFonts w:ascii="Arial" w:eastAsia="Times New Roman" w:hAnsi="Arial" w:cs="Arial"/>
                <w:color w:val="000000"/>
                <w:sz w:val="18"/>
                <w:szCs w:val="18"/>
                <w:lang w:eastAsia="de-DE"/>
              </w:rPr>
              <w:t>Coordination</w:t>
            </w:r>
            <w:r>
              <w:rPr>
                <w:rFonts w:ascii="Arial" w:eastAsia="Times New Roman" w:hAnsi="Arial" w:cs="Arial"/>
                <w:color w:val="000000"/>
                <w:sz w:val="18"/>
                <w:szCs w:val="18"/>
                <w:lang w:eastAsia="de-DE"/>
              </w:rPr>
              <w:t xml:space="preserve"> Centre</w:t>
            </w:r>
          </w:p>
        </w:tc>
        <w:tc>
          <w:tcPr>
            <w:tcW w:w="1200" w:type="dxa"/>
            <w:tcBorders>
              <w:top w:val="nil"/>
              <w:left w:val="single" w:sz="4" w:space="0" w:color="auto"/>
              <w:bottom w:val="single" w:sz="8" w:space="0" w:color="auto"/>
              <w:right w:val="nil"/>
            </w:tcBorders>
            <w:shd w:val="clear" w:color="auto" w:fill="auto"/>
            <w:noWrap/>
          </w:tcPr>
          <w:p w14:paraId="03B6FFE0" w14:textId="77777777" w:rsidR="002C0EAE" w:rsidRPr="00D706B4" w:rsidRDefault="002C0EAE" w:rsidP="002C0EAE">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single" w:sz="8" w:space="0" w:color="auto"/>
              <w:right w:val="single" w:sz="4" w:space="0" w:color="auto"/>
            </w:tcBorders>
            <w:shd w:val="clear" w:color="auto" w:fill="auto"/>
            <w:noWrap/>
          </w:tcPr>
          <w:p w14:paraId="1E82E12F" w14:textId="42A83DFE" w:rsidR="002C0EAE" w:rsidRDefault="002C0EAE" w:rsidP="002C0EAE">
            <w:pPr>
              <w:spacing w:after="0" w:line="240" w:lineRule="auto"/>
              <w:jc w:val="lef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2:00 PM</w:t>
            </w:r>
          </w:p>
        </w:tc>
        <w:tc>
          <w:tcPr>
            <w:tcW w:w="1200" w:type="dxa"/>
            <w:tcBorders>
              <w:top w:val="nil"/>
              <w:left w:val="nil"/>
              <w:bottom w:val="single" w:sz="8" w:space="0" w:color="auto"/>
              <w:right w:val="nil"/>
            </w:tcBorders>
            <w:shd w:val="clear" w:color="auto" w:fill="auto"/>
            <w:noWrap/>
          </w:tcPr>
          <w:p w14:paraId="1E059361" w14:textId="77777777" w:rsidR="002C0EAE" w:rsidRPr="002C0EAE" w:rsidRDefault="002C0EAE" w:rsidP="002C0EAE">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single" w:sz="8" w:space="0" w:color="auto"/>
              <w:right w:val="single" w:sz="8" w:space="0" w:color="auto"/>
            </w:tcBorders>
            <w:shd w:val="clear" w:color="auto" w:fill="auto"/>
            <w:noWrap/>
          </w:tcPr>
          <w:p w14:paraId="56F3B8C5" w14:textId="48FB0DEB" w:rsidR="002C0EAE" w:rsidRDefault="002C0EAE" w:rsidP="002C0EAE">
            <w:pPr>
              <w:spacing w:after="0" w:line="240" w:lineRule="auto"/>
              <w:jc w:val="lef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2:00 PM</w:t>
            </w:r>
          </w:p>
        </w:tc>
      </w:tr>
    </w:tbl>
    <w:p w14:paraId="3C69A76A" w14:textId="5A6F3ACF" w:rsidR="00AA679C" w:rsidRDefault="00AA679C" w:rsidP="003B64D5">
      <w:pPr>
        <w:pStyle w:val="Caption"/>
      </w:pPr>
    </w:p>
    <w:p w14:paraId="54E603FF" w14:textId="5DD5D144" w:rsidR="003B64D5" w:rsidRPr="00C87891" w:rsidRDefault="003B64D5" w:rsidP="003B64D5">
      <w:pPr>
        <w:pStyle w:val="Caption"/>
      </w:pPr>
      <w:bookmarkStart w:id="162" w:name="_Ref75847512"/>
      <w:bookmarkStart w:id="163" w:name="_Ref54956661"/>
      <w:r w:rsidRPr="00C87891">
        <w:t xml:space="preserve">Table </w:t>
      </w:r>
      <w:r w:rsidRPr="00C87891">
        <w:fldChar w:fldCharType="begin"/>
      </w:r>
      <w:r w:rsidRPr="00C87891">
        <w:instrText xml:space="preserve"> SEQ Table \* ARABIC </w:instrText>
      </w:r>
      <w:r w:rsidRPr="00C87891">
        <w:fldChar w:fldCharType="separate"/>
      </w:r>
      <w:r w:rsidR="009E7709">
        <w:rPr>
          <w:noProof/>
        </w:rPr>
        <w:t>2</w:t>
      </w:r>
      <w:r w:rsidRPr="00C87891">
        <w:fldChar w:fldCharType="end"/>
      </w:r>
      <w:bookmarkEnd w:id="161"/>
      <w:bookmarkEnd w:id="162"/>
      <w:r w:rsidRPr="00C87891">
        <w:t>: Timetable for daily accounting and settlement process</w:t>
      </w:r>
      <w:bookmarkEnd w:id="163"/>
    </w:p>
    <w:p w14:paraId="1734339E" w14:textId="1A1C6678" w:rsidR="003B64D5" w:rsidRPr="00C87891" w:rsidRDefault="003B64D5" w:rsidP="003B64D5"/>
    <w:p w14:paraId="48ACF00B" w14:textId="77777777" w:rsidR="00832602" w:rsidRPr="00C87891" w:rsidRDefault="00832602" w:rsidP="003B64D5">
      <w:r w:rsidRPr="00C87891">
        <w:rPr>
          <w:noProof/>
          <w:lang w:val="de-DE" w:eastAsia="de-DE"/>
        </w:rPr>
        <w:drawing>
          <wp:inline distT="0" distB="0" distL="0" distR="0" wp14:anchorId="4D546D58" wp14:editId="3AF3A030">
            <wp:extent cx="5760720" cy="322602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226028"/>
                    </a:xfrm>
                    <a:prstGeom prst="rect">
                      <a:avLst/>
                    </a:prstGeom>
                    <a:noFill/>
                    <a:ln>
                      <a:noFill/>
                    </a:ln>
                  </pic:spPr>
                </pic:pic>
              </a:graphicData>
            </a:graphic>
          </wp:inline>
        </w:drawing>
      </w:r>
    </w:p>
    <w:p w14:paraId="5B6CD4F5" w14:textId="7ABC40D3" w:rsidR="00A73FC1" w:rsidRDefault="00832602" w:rsidP="00C24891">
      <w:pPr>
        <w:pStyle w:val="Caption"/>
      </w:pPr>
      <w:r w:rsidRPr="00C87891">
        <w:t xml:space="preserve">Figure </w:t>
      </w:r>
      <w:r w:rsidRPr="00263072">
        <w:fldChar w:fldCharType="begin"/>
      </w:r>
      <w:r w:rsidRPr="00C87891">
        <w:instrText xml:space="preserve"> SEQ Figure \* ARABIC </w:instrText>
      </w:r>
      <w:r w:rsidRPr="00263072">
        <w:rPr>
          <w:b w:val="0"/>
          <w:bCs w:val="0"/>
        </w:rPr>
        <w:fldChar w:fldCharType="separate"/>
      </w:r>
      <w:r w:rsidR="009E7709">
        <w:rPr>
          <w:noProof/>
        </w:rPr>
        <w:t>4</w:t>
      </w:r>
      <w:r w:rsidRPr="00263072">
        <w:fldChar w:fldCharType="end"/>
      </w:r>
      <w:r w:rsidRPr="00C87891">
        <w:t>. Timing of daily Accounting Data exchange</w:t>
      </w:r>
    </w:p>
    <w:p w14:paraId="34FC417F" w14:textId="77777777" w:rsidR="00BE1462" w:rsidRPr="00C87891" w:rsidRDefault="00BE1462" w:rsidP="00F7398B">
      <w:pPr>
        <w:pStyle w:val="Heading3"/>
      </w:pPr>
      <w:bookmarkStart w:id="164" w:name="_Toc54000757"/>
      <w:bookmarkStart w:id="165" w:name="_Toc54000761"/>
      <w:bookmarkStart w:id="166" w:name="_Toc54000762"/>
      <w:bookmarkStart w:id="167" w:name="_Toc54000763"/>
      <w:bookmarkStart w:id="168" w:name="_Toc54000765"/>
      <w:bookmarkStart w:id="169" w:name="_Toc54000766"/>
      <w:bookmarkStart w:id="170" w:name="_Toc54000768"/>
      <w:bookmarkStart w:id="171" w:name="_Toc54000771"/>
      <w:bookmarkStart w:id="172" w:name="_Toc54000772"/>
      <w:bookmarkStart w:id="173" w:name="_Toc54000775"/>
      <w:bookmarkStart w:id="174" w:name="_Toc54000776"/>
      <w:bookmarkStart w:id="175" w:name="_Toc54000780"/>
      <w:bookmarkStart w:id="176" w:name="_Ref523403155"/>
      <w:bookmarkStart w:id="177" w:name="_Toc90297836"/>
      <w:bookmarkEnd w:id="164"/>
      <w:bookmarkEnd w:id="165"/>
      <w:bookmarkEnd w:id="166"/>
      <w:bookmarkEnd w:id="167"/>
      <w:bookmarkEnd w:id="168"/>
      <w:bookmarkEnd w:id="169"/>
      <w:bookmarkEnd w:id="170"/>
      <w:bookmarkEnd w:id="171"/>
      <w:bookmarkEnd w:id="172"/>
      <w:bookmarkEnd w:id="173"/>
      <w:bookmarkEnd w:id="174"/>
      <w:bookmarkEnd w:id="175"/>
      <w:r w:rsidRPr="00C87891">
        <w:t>Registration form for Accounting Process including Tie-Lines</w:t>
      </w:r>
      <w:bookmarkEnd w:id="176"/>
      <w:bookmarkEnd w:id="177"/>
    </w:p>
    <w:p w14:paraId="4C6963B4" w14:textId="3C0E66B1" w:rsidR="00BE1462" w:rsidRDefault="00685D5F" w:rsidP="00BE1462">
      <w:r>
        <w:rPr>
          <w:noProof/>
          <w:lang w:val="de-DE" w:eastAsia="de-DE"/>
        </w:rPr>
        <w:drawing>
          <wp:inline distT="0" distB="0" distL="0" distR="0" wp14:anchorId="56BD7A43" wp14:editId="2235149D">
            <wp:extent cx="4988966" cy="6406848"/>
            <wp:effectExtent l="0" t="0" r="254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3901" cy="6413186"/>
                    </a:xfrm>
                    <a:prstGeom prst="rect">
                      <a:avLst/>
                    </a:prstGeom>
                    <a:noFill/>
                    <a:ln>
                      <a:noFill/>
                    </a:ln>
                  </pic:spPr>
                </pic:pic>
              </a:graphicData>
            </a:graphic>
          </wp:inline>
        </w:drawing>
      </w:r>
    </w:p>
    <w:p w14:paraId="0F8675A3" w14:textId="42DF02D8" w:rsidR="00246E74" w:rsidRDefault="00246E74" w:rsidP="00F7398B">
      <w:pPr>
        <w:pStyle w:val="Heading3"/>
      </w:pPr>
      <w:bookmarkStart w:id="178" w:name="_Toc90297837"/>
      <w:r>
        <w:t>List of LFC Blocks performing Accounting and Settlement Process on LFC Block level</w:t>
      </w:r>
      <w:bookmarkEnd w:id="178"/>
    </w:p>
    <w:p w14:paraId="007D032C" w14:textId="29F7DEAB" w:rsidR="008D0E8C" w:rsidRDefault="00246E74" w:rsidP="00246E74">
      <w:r>
        <w:t>The Parties acknowledge that at the moment of entry into force of the Agreement there is no LFC Block performing the Accounting and Settlement Process on LFC Block level.</w:t>
      </w:r>
    </w:p>
    <w:p w14:paraId="25260390" w14:textId="77777777" w:rsidR="008D0E8C" w:rsidRDefault="008D0E8C">
      <w:pPr>
        <w:jc w:val="left"/>
      </w:pPr>
      <w:r>
        <w:br w:type="page"/>
      </w:r>
    </w:p>
    <w:p w14:paraId="0E2E86D9" w14:textId="77777777" w:rsidR="00246E74" w:rsidRDefault="00246E74" w:rsidP="00246E74"/>
    <w:p w14:paraId="19B446DB" w14:textId="77777777" w:rsidR="004D51F1" w:rsidRPr="00C87891" w:rsidRDefault="004D51F1" w:rsidP="00F7398B">
      <w:pPr>
        <w:pStyle w:val="Heading2"/>
      </w:pPr>
      <w:bookmarkStart w:id="179" w:name="_Toc85043906"/>
      <w:bookmarkStart w:id="180" w:name="_Toc90297838"/>
      <w:r w:rsidRPr="007D336B">
        <w:t>The specific regulations with regard to a withholding tax due in Poland</w:t>
      </w:r>
      <w:bookmarkEnd w:id="179"/>
      <w:bookmarkEnd w:id="180"/>
    </w:p>
    <w:p w14:paraId="340F0252" w14:textId="77777777" w:rsidR="004D51F1" w:rsidRDefault="004D51F1" w:rsidP="004D51F1"/>
    <w:p w14:paraId="1FD265A3" w14:textId="2D833FE7" w:rsidR="004D51F1" w:rsidRDefault="004D51F1" w:rsidP="004D51F1">
      <w:r w:rsidRPr="00B66F78">
        <w:t>1.</w:t>
      </w:r>
      <w:r w:rsidRPr="00B66F78">
        <w:tab/>
        <w:t>Immediately after entering in to force of this Annex , but</w:t>
      </w:r>
      <w:r>
        <w:t xml:space="preserve"> not later than by the 10th calendar day prior to the date of the first remuneration payment and, after that, at least 30 calendar days prior to the end of each</w:t>
      </w:r>
      <w:r w:rsidRPr="00476F04">
        <w:t xml:space="preserve"> year</w:t>
      </w:r>
      <w:r>
        <w:t xml:space="preserve"> the service</w:t>
      </w:r>
      <w:r w:rsidRPr="00476F04">
        <w:t xml:space="preserve"> have been performed </w:t>
      </w:r>
      <w:r>
        <w:t xml:space="preserve">by </w:t>
      </w:r>
      <w:r w:rsidR="002E2691">
        <w:t>Coordination</w:t>
      </w:r>
      <w:r w:rsidR="009E64F6">
        <w:t xml:space="preserve"> </w:t>
      </w:r>
      <w:r>
        <w:t>C</w:t>
      </w:r>
      <w:r w:rsidR="009E64F6">
        <w:t>entre</w:t>
      </w:r>
      <w:r>
        <w:t xml:space="preserve">, the </w:t>
      </w:r>
      <w:r w:rsidR="002E2691">
        <w:t>Coordination</w:t>
      </w:r>
      <w:r w:rsidR="009E64F6">
        <w:t xml:space="preserve"> </w:t>
      </w:r>
      <w:r>
        <w:t>C</w:t>
      </w:r>
      <w:r w:rsidR="009E64F6">
        <w:t>entre</w:t>
      </w:r>
      <w:r>
        <w:t xml:space="preserve"> is obliged to provide PSE with a written statement that it is subject to a taxation on its total income and  that  it is the beneficial owner of payments received from PSE together with information that it conducts actual business activity in the country of its tax residence. The template of such a statement constitutes Appendix 1 to this Annex</w:t>
      </w:r>
      <w:r w:rsidR="00FB2C74">
        <w:t xml:space="preserve"> 3</w:t>
      </w:r>
      <w:r w:rsidR="008D0E8C">
        <w:t>.</w:t>
      </w:r>
    </w:p>
    <w:p w14:paraId="6591EC23" w14:textId="1F37422F" w:rsidR="004D51F1" w:rsidRDefault="004D51F1" w:rsidP="004D51F1">
      <w:r>
        <w:t>2.</w:t>
      </w:r>
      <w:r>
        <w:tab/>
      </w:r>
      <w:r w:rsidRPr="0091498E">
        <w:t xml:space="preserve">Immediately after </w:t>
      </w:r>
      <w:r>
        <w:t>entering</w:t>
      </w:r>
      <w:r w:rsidRPr="0091498E">
        <w:t xml:space="preserve"> in to force </w:t>
      </w:r>
      <w:r>
        <w:t>of this</w:t>
      </w:r>
      <w:r w:rsidRPr="0091498E">
        <w:t xml:space="preserve"> </w:t>
      </w:r>
      <w:r w:rsidR="00FB2C74">
        <w:t>Annex</w:t>
      </w:r>
      <w:r w:rsidRPr="0091498E">
        <w:t xml:space="preserve"> 3</w:t>
      </w:r>
      <w:r>
        <w:t>, but not later than by the 10th calendar day prior to the date of the first remuneration payment and, after that, at least 30 calendar days prior to the end of each</w:t>
      </w:r>
      <w:r w:rsidRPr="00476F04">
        <w:t xml:space="preserve"> year the service have been performed by </w:t>
      </w:r>
      <w:r w:rsidR="002E2691">
        <w:t>Coordination</w:t>
      </w:r>
      <w:r w:rsidR="009E64F6">
        <w:t xml:space="preserve"> </w:t>
      </w:r>
      <w:r w:rsidRPr="00476F04">
        <w:t>C</w:t>
      </w:r>
      <w:r w:rsidR="009E64F6">
        <w:t>entre</w:t>
      </w:r>
      <w:r>
        <w:t xml:space="preserve">, the Service Provider shall provide PSE with a completed verification questionnaire (via e-mail address indicated in Annex </w:t>
      </w:r>
      <w:r w:rsidR="00FB2C74">
        <w:t>3</w:t>
      </w:r>
      <w:r>
        <w:t xml:space="preserve"> with contact details), the template of which constitutes Appendix 2 to this Annex</w:t>
      </w:r>
      <w:r w:rsidR="00FB2C74">
        <w:t xml:space="preserve"> 3</w:t>
      </w:r>
      <w:r>
        <w:t>.</w:t>
      </w:r>
    </w:p>
    <w:p w14:paraId="189623AF" w14:textId="77777777" w:rsidR="00CD11D4" w:rsidRDefault="008044EE" w:rsidP="00CD11D4">
      <w:r>
        <w:t>3.</w:t>
      </w:r>
      <w:r>
        <w:tab/>
      </w:r>
      <w:r w:rsidR="00CD11D4" w:rsidRPr="00AB2F52">
        <w:t xml:space="preserve">Based on the information and data provided </w:t>
      </w:r>
      <w:r w:rsidR="00CD11D4">
        <w:t>by CCs,</w:t>
      </w:r>
      <w:r w:rsidR="00CD11D4" w:rsidRPr="00AB2F52">
        <w:t xml:space="preserve"> PSE may require the </w:t>
      </w:r>
      <w:r w:rsidR="00CD11D4">
        <w:t>CC</w:t>
      </w:r>
      <w:r w:rsidR="00CD11D4" w:rsidRPr="00AB2F52">
        <w:t xml:space="preserve"> to produce additional documents or deliver information necessary not to withhold the tax, and the </w:t>
      </w:r>
      <w:r w:rsidR="00CD11D4">
        <w:t>CC</w:t>
      </w:r>
      <w:r w:rsidR="00CD11D4" w:rsidRPr="00AB2F52">
        <w:t xml:space="preserve"> undertakes to provide such documents or information upon request, not later than by the 5th calendar day prior to the date of the upcoming payment, and on condition that (i) </w:t>
      </w:r>
      <w:r w:rsidR="00CD11D4">
        <w:t>CC</w:t>
      </w:r>
      <w:r w:rsidR="00CD11D4" w:rsidRPr="00AB2F52">
        <w:t xml:space="preserve"> would be factually able to obtain/prepare such additional data and (ii) this additional data will not constitute the confidential information or trade secret of </w:t>
      </w:r>
      <w:r w:rsidR="00CD11D4">
        <w:t>CC</w:t>
      </w:r>
      <w:r w:rsidR="00CD11D4" w:rsidRPr="00AB2F52">
        <w:t xml:space="preserve">. </w:t>
      </w:r>
    </w:p>
    <w:p w14:paraId="7F638E46" w14:textId="52E3AB64" w:rsidR="00006FAA" w:rsidRDefault="00006FAA" w:rsidP="004D51F1"/>
    <w:p w14:paraId="7C1A231C" w14:textId="276C7A4E" w:rsidR="004D51F1" w:rsidRDefault="004D51F1" w:rsidP="00246E74"/>
    <w:sectPr w:rsidR="004D51F1" w:rsidSect="009E0E53">
      <w:headerReference w:type="default" r:id="rId20"/>
      <w:footerReference w:type="default" r:id="rId21"/>
      <w:headerReference w:type="first" r:id="rId2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C7425" w14:textId="77777777" w:rsidR="00715EBE" w:rsidRDefault="00715EBE" w:rsidP="00722BDC">
      <w:pPr>
        <w:spacing w:after="0" w:line="240" w:lineRule="auto"/>
      </w:pPr>
      <w:r>
        <w:separator/>
      </w:r>
    </w:p>
  </w:endnote>
  <w:endnote w:type="continuationSeparator" w:id="0">
    <w:p w14:paraId="6C38E179" w14:textId="77777777" w:rsidR="00715EBE" w:rsidRDefault="00715EBE" w:rsidP="00722BDC">
      <w:pPr>
        <w:spacing w:after="0" w:line="240" w:lineRule="auto"/>
      </w:pPr>
      <w:r>
        <w:continuationSeparator/>
      </w:r>
    </w:p>
  </w:endnote>
  <w:endnote w:type="continuationNotice" w:id="1">
    <w:p w14:paraId="6945644C" w14:textId="77777777" w:rsidR="00715EBE" w:rsidRDefault="00715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570298"/>
      <w:docPartObj>
        <w:docPartGallery w:val="Page Numbers (Bottom of Page)"/>
        <w:docPartUnique/>
      </w:docPartObj>
    </w:sdtPr>
    <w:sdtEndPr/>
    <w:sdtContent>
      <w:p w14:paraId="171E43F9" w14:textId="35F9667A" w:rsidR="00EB03D7" w:rsidRDefault="00EB03D7" w:rsidP="004E2B05">
        <w:pPr>
          <w:pStyle w:val="Footer"/>
          <w:jc w:val="right"/>
        </w:pPr>
        <w:r>
          <w:fldChar w:fldCharType="begin"/>
        </w:r>
        <w:r>
          <w:instrText>PAGE   \* MERGEFORMAT</w:instrText>
        </w:r>
        <w:r>
          <w:fldChar w:fldCharType="separate"/>
        </w:r>
        <w:r w:rsidR="00263072" w:rsidRPr="00263072">
          <w:rPr>
            <w:noProof/>
            <w:lang w:val="de-DE"/>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32308" w14:textId="77777777" w:rsidR="00715EBE" w:rsidRDefault="00715EBE" w:rsidP="00722BDC">
      <w:pPr>
        <w:spacing w:after="0" w:line="240" w:lineRule="auto"/>
      </w:pPr>
      <w:r>
        <w:separator/>
      </w:r>
    </w:p>
  </w:footnote>
  <w:footnote w:type="continuationSeparator" w:id="0">
    <w:p w14:paraId="79B17BD8" w14:textId="77777777" w:rsidR="00715EBE" w:rsidRDefault="00715EBE" w:rsidP="00722BDC">
      <w:pPr>
        <w:spacing w:after="0" w:line="240" w:lineRule="auto"/>
      </w:pPr>
      <w:r>
        <w:continuationSeparator/>
      </w:r>
    </w:p>
  </w:footnote>
  <w:footnote w:type="continuationNotice" w:id="1">
    <w:p w14:paraId="0C6E5750" w14:textId="77777777" w:rsidR="00715EBE" w:rsidRDefault="00715EBE">
      <w:pPr>
        <w:spacing w:after="0" w:line="240" w:lineRule="auto"/>
      </w:pPr>
    </w:p>
  </w:footnote>
  <w:footnote w:id="2">
    <w:p w14:paraId="6CED2F90" w14:textId="2A07704D" w:rsidR="00EB03D7" w:rsidRPr="00F35B03" w:rsidRDefault="00EB03D7" w:rsidP="00DC31AF">
      <w:pPr>
        <w:pStyle w:val="FootnoteText"/>
      </w:pPr>
      <w:r>
        <w:rPr>
          <w:rStyle w:val="FootnoteReference"/>
        </w:rPr>
        <w:footnoteRef/>
      </w:r>
      <w:r>
        <w:t xml:space="preserve"> The </w:t>
      </w:r>
      <w:r w:rsidRPr="00DC31AF">
        <w:t xml:space="preserve">scheduled energy exchanges </w:t>
      </w:r>
      <w:r>
        <w:t xml:space="preserve">will additionally include the compensation program for the transition phase, see </w:t>
      </w:r>
      <w:r>
        <w:fldChar w:fldCharType="begin"/>
      </w:r>
      <w:r>
        <w:instrText xml:space="preserve"> REF _Ref55547602 \r \h </w:instrText>
      </w:r>
      <w:r>
        <w:fldChar w:fldCharType="separate"/>
      </w:r>
      <w:r>
        <w:t>C-10</w:t>
      </w:r>
      <w:r>
        <w:fldChar w:fldCharType="end"/>
      </w:r>
      <w:r>
        <w:t>.</w:t>
      </w:r>
    </w:p>
  </w:footnote>
  <w:footnote w:id="3">
    <w:p w14:paraId="082AD05D" w14:textId="5B3EC14D" w:rsidR="00137192" w:rsidRPr="00263072" w:rsidRDefault="00137192">
      <w:pPr>
        <w:pStyle w:val="FootnoteText"/>
        <w:rPr>
          <w:lang w:val="de-DE"/>
        </w:rPr>
      </w:pPr>
      <w:r>
        <w:rPr>
          <w:rStyle w:val="FootnoteReference"/>
        </w:rPr>
        <w:footnoteRef/>
      </w:r>
      <w:r>
        <w:t xml:space="preserve"> </w:t>
      </w:r>
      <w:r w:rsidRPr="00137192">
        <w:t>This designation is without prejudice to positions on status, and is in line with UNSCR 1244 and the ICJ Opinion on the Kosovo declaration of independence</w:t>
      </w:r>
    </w:p>
  </w:footnote>
  <w:footnote w:id="4">
    <w:p w14:paraId="0BDB7871" w14:textId="4A4120CE" w:rsidR="002E2691" w:rsidRPr="00263072" w:rsidRDefault="002E2691">
      <w:pPr>
        <w:pStyle w:val="FootnoteText"/>
        <w:rPr>
          <w:lang w:val="de-DE"/>
        </w:rPr>
      </w:pPr>
      <w:r>
        <w:rPr>
          <w:rStyle w:val="FootnoteReference"/>
        </w:rPr>
        <w:footnoteRef/>
      </w:r>
      <w:r>
        <w:t xml:space="preserve"> </w:t>
      </w:r>
      <w:r w:rsidRPr="00137192">
        <w:t>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4C793" w14:textId="77777777" w:rsidR="00EB03D7" w:rsidRPr="0000118A" w:rsidRDefault="00EB03D7" w:rsidP="00716BDD">
    <w:pPr>
      <w:spacing w:after="0"/>
      <w:rPr>
        <w:sz w:val="14"/>
      </w:rPr>
    </w:pPr>
  </w:p>
  <w:tbl>
    <w:tblPr>
      <w:tblW w:w="9114"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14"/>
    </w:tblGrid>
    <w:tr w:rsidR="00EB03D7" w:rsidRPr="00965255" w14:paraId="6471373B" w14:textId="77777777" w:rsidTr="5BCF031F">
      <w:trPr>
        <w:trHeight w:val="310"/>
      </w:trPr>
      <w:tc>
        <w:tcPr>
          <w:tcW w:w="9114" w:type="dxa"/>
          <w:shd w:val="clear" w:color="auto" w:fill="auto"/>
          <w:tcMar>
            <w:top w:w="113" w:type="dxa"/>
            <w:bottom w:w="113" w:type="dxa"/>
          </w:tcMar>
        </w:tcPr>
        <w:p w14:paraId="79F91A41" w14:textId="77777777" w:rsidR="00EB03D7" w:rsidRPr="00883381" w:rsidRDefault="00EB03D7" w:rsidP="00716BDD">
          <w:pPr>
            <w:tabs>
              <w:tab w:val="left" w:pos="318"/>
              <w:tab w:val="center" w:pos="4540"/>
            </w:tabs>
            <w:spacing w:after="0"/>
            <w:ind w:left="1169"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6660C9F1" w14:textId="77777777" w:rsidR="00EB03D7" w:rsidRPr="0000118A" w:rsidRDefault="00EB03D7" w:rsidP="00716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3F83F" w14:textId="77777777" w:rsidR="00EB03D7" w:rsidRPr="0000118A" w:rsidRDefault="00EB03D7" w:rsidP="00C276BC">
    <w:pPr>
      <w:spacing w:after="0"/>
      <w:ind w:right="-1"/>
      <w:rPr>
        <w:sz w:val="14"/>
      </w:rPr>
    </w:pPr>
  </w:p>
  <w:tbl>
    <w:tblPr>
      <w:tblW w:w="9160"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60"/>
    </w:tblGrid>
    <w:tr w:rsidR="00EB03D7" w:rsidRPr="00965255" w14:paraId="703E8442" w14:textId="77777777" w:rsidTr="5BCF031F">
      <w:trPr>
        <w:trHeight w:val="336"/>
      </w:trPr>
      <w:tc>
        <w:tcPr>
          <w:tcW w:w="9160" w:type="dxa"/>
          <w:shd w:val="clear" w:color="auto" w:fill="auto"/>
          <w:tcMar>
            <w:top w:w="113" w:type="dxa"/>
            <w:bottom w:w="113" w:type="dxa"/>
          </w:tcMar>
        </w:tcPr>
        <w:p w14:paraId="0A4766C7" w14:textId="77777777" w:rsidR="00EB03D7" w:rsidRPr="00883381" w:rsidRDefault="00EB03D7" w:rsidP="00C276BC">
          <w:pPr>
            <w:tabs>
              <w:tab w:val="left" w:pos="318"/>
              <w:tab w:val="center" w:pos="4540"/>
            </w:tabs>
            <w:spacing w:after="0"/>
            <w:ind w:left="1169" w:right="-158"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2964B903" w14:textId="77777777" w:rsidR="00EB03D7" w:rsidRDefault="00EB03D7" w:rsidP="00C276BC">
    <w:pPr>
      <w:pStyle w:val="Header"/>
    </w:pPr>
  </w:p>
  <w:p w14:paraId="181A6443" w14:textId="77777777" w:rsidR="00EB03D7" w:rsidRDefault="00EB03D7" w:rsidP="00C276BC">
    <w:pPr>
      <w:pStyle w:val="Header"/>
    </w:pPr>
  </w:p>
  <w:p w14:paraId="47850C58" w14:textId="77777777" w:rsidR="00EB03D7" w:rsidRDefault="00EB03D7" w:rsidP="00C276BC">
    <w:pPr>
      <w:pStyle w:val="Header"/>
    </w:pPr>
  </w:p>
  <w:p w14:paraId="56377A0A" w14:textId="77777777" w:rsidR="00EB03D7" w:rsidRDefault="00EB03D7" w:rsidP="00C276BC">
    <w:pPr>
      <w:pStyle w:val="Header"/>
    </w:pPr>
  </w:p>
  <w:p w14:paraId="2951A4F4" w14:textId="40AF0AD1" w:rsidR="00EB03D7" w:rsidRDefault="00394B4C" w:rsidP="00F456C5">
    <w:pPr>
      <w:pStyle w:val="Header"/>
      <w:jc w:val="right"/>
    </w:pPr>
    <w:sdt>
      <w:sdtPr>
        <w:alias w:val="Data Classification"/>
        <w:tag w:val="Category"/>
        <w:id w:val="1872408024"/>
        <w:placeholder>
          <w:docPart w:val="32F9E4BF457E4F948BDEE228462223A5"/>
        </w:placeholder>
        <w15:color w:val="0000FF"/>
        <w:dropDownList>
          <w:listItem w:displayText="Public" w:value="Data that can be shared within ENTSO-E without limitations, and that can be disclosed to third parties or published."/>
          <w:listItem w:displayText="Data open within ENTSO-E" w:value="Data that can be shared within ENTSO-E without limitations"/>
          <w:listItem w:displayText="Restricted" w:value="Data that can be shared internally on the “need to know basis” only. Special rules may apply."/>
        </w:dropDownList>
      </w:sdtPr>
      <w:sdtEndPr/>
      <w:sdtContent>
        <w:r w:rsidR="00F456C5" w:rsidRPr="00ED664C">
          <w:t>Data open within ENTSO-E</w:t>
        </w:r>
      </w:sdtContent>
    </w:sdt>
  </w:p>
  <w:p w14:paraId="3C31FDE1" w14:textId="77777777" w:rsidR="00EB03D7" w:rsidRDefault="00EB03D7" w:rsidP="00C276BC">
    <w:pPr>
      <w:pStyle w:val="Header"/>
    </w:pPr>
  </w:p>
  <w:p w14:paraId="64E58763" w14:textId="77777777" w:rsidR="00EB03D7" w:rsidRDefault="00EB03D7" w:rsidP="00C276BC">
    <w:pPr>
      <w:pStyle w:val="Header"/>
    </w:pPr>
  </w:p>
  <w:p w14:paraId="5487DB52" w14:textId="77777777" w:rsidR="00EB03D7" w:rsidRDefault="00EB03D7" w:rsidP="00C276BC">
    <w:pPr>
      <w:pStyle w:val="Header"/>
    </w:pPr>
  </w:p>
  <w:p w14:paraId="7AF5CA61" w14:textId="77777777" w:rsidR="00EB03D7" w:rsidRDefault="00EB03D7" w:rsidP="00C276BC">
    <w:pPr>
      <w:pStyle w:val="Header"/>
    </w:pPr>
  </w:p>
  <w:p w14:paraId="4261D32A" w14:textId="77777777" w:rsidR="00EB03D7" w:rsidRDefault="00EB03D7" w:rsidP="00C276BC">
    <w:pPr>
      <w:pStyle w:val="Header"/>
    </w:pPr>
  </w:p>
  <w:p w14:paraId="3DEEC9B3" w14:textId="77777777" w:rsidR="00EB03D7" w:rsidRDefault="00EB03D7" w:rsidP="00C276BC">
    <w:pPr>
      <w:pStyle w:val="Header"/>
    </w:pPr>
  </w:p>
  <w:p w14:paraId="0CBCB0E5" w14:textId="77777777" w:rsidR="00EB03D7" w:rsidRDefault="00EB03D7" w:rsidP="00C276BC">
    <w:pPr>
      <w:pStyle w:val="Header"/>
    </w:pPr>
  </w:p>
  <w:p w14:paraId="3DDB0501" w14:textId="77777777" w:rsidR="00EB03D7" w:rsidRDefault="00EB03D7" w:rsidP="00C276BC">
    <w:pPr>
      <w:pStyle w:val="Header"/>
    </w:pPr>
  </w:p>
  <w:p w14:paraId="165BB99A" w14:textId="77777777" w:rsidR="00EB03D7" w:rsidRDefault="00EB03D7" w:rsidP="00C276BC">
    <w:pPr>
      <w:pStyle w:val="Header"/>
    </w:pPr>
  </w:p>
  <w:p w14:paraId="57EC124D" w14:textId="77777777" w:rsidR="00EB03D7" w:rsidRDefault="00EB03D7" w:rsidP="00C276BC">
    <w:pPr>
      <w:pStyle w:val="Header"/>
    </w:pPr>
  </w:p>
  <w:p w14:paraId="1686E725" w14:textId="77777777" w:rsidR="00EB03D7" w:rsidRDefault="00EB03D7" w:rsidP="00C276BC">
    <w:pPr>
      <w:pStyle w:val="Header"/>
    </w:pPr>
  </w:p>
  <w:p w14:paraId="505E41BE" w14:textId="77777777" w:rsidR="00EB03D7" w:rsidRDefault="00EB03D7" w:rsidP="00C276BC">
    <w:pPr>
      <w:pStyle w:val="Header"/>
    </w:pPr>
  </w:p>
  <w:p w14:paraId="4B0D04EB" w14:textId="77777777" w:rsidR="00EB03D7" w:rsidRDefault="00EB03D7" w:rsidP="00C276BC">
    <w:pPr>
      <w:pStyle w:val="Header"/>
    </w:pPr>
  </w:p>
  <w:p w14:paraId="4D827E9E" w14:textId="77777777" w:rsidR="00EB03D7" w:rsidRDefault="00EB03D7" w:rsidP="00C276BC">
    <w:pPr>
      <w:pStyle w:val="Header"/>
    </w:pPr>
  </w:p>
  <w:p w14:paraId="224045AC" w14:textId="77777777" w:rsidR="00EB03D7" w:rsidRDefault="00EB03D7" w:rsidP="00C276BC">
    <w:pPr>
      <w:pStyle w:val="Header"/>
    </w:pPr>
  </w:p>
  <w:p w14:paraId="16BD9BE6" w14:textId="77777777" w:rsidR="00EB03D7" w:rsidRDefault="00EB03D7" w:rsidP="00C276BC">
    <w:pPr>
      <w:pStyle w:val="Header"/>
    </w:pPr>
  </w:p>
  <w:p w14:paraId="031273D1" w14:textId="77777777" w:rsidR="00EB03D7" w:rsidRDefault="00EB03D7" w:rsidP="00C276BC">
    <w:pPr>
      <w:pStyle w:val="Header"/>
    </w:pPr>
  </w:p>
  <w:p w14:paraId="75F1C14F" w14:textId="77777777" w:rsidR="00EB03D7" w:rsidRDefault="00EB03D7" w:rsidP="00C276BC">
    <w:pPr>
      <w:pStyle w:val="Header"/>
    </w:pPr>
  </w:p>
  <w:p w14:paraId="5691F03B" w14:textId="77777777" w:rsidR="00EB03D7" w:rsidRDefault="00EB03D7" w:rsidP="00C27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B5505B5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A3D67C9"/>
    <w:multiLevelType w:val="hybridMultilevel"/>
    <w:tmpl w:val="CC50D1BE"/>
    <w:lvl w:ilvl="0" w:tplc="C658A028">
      <w:start w:val="1"/>
      <w:numFmt w:val="bullet"/>
      <w:pStyle w:val="Aufzhlung1"/>
      <w:lvlText w:val=""/>
      <w:lvlJc w:val="left"/>
      <w:pPr>
        <w:tabs>
          <w:tab w:val="num" w:pos="284"/>
        </w:tabs>
        <w:ind w:left="284" w:hanging="284"/>
      </w:pPr>
      <w:rPr>
        <w:rFonts w:ascii="Symbol" w:hAnsi="Symbol" w:hint="default"/>
        <w:sz w:val="16"/>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927B1"/>
    <w:multiLevelType w:val="hybridMultilevel"/>
    <w:tmpl w:val="CCA6A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602C0"/>
    <w:multiLevelType w:val="hybridMultilevel"/>
    <w:tmpl w:val="51940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2C1ED9"/>
    <w:multiLevelType w:val="hybridMultilevel"/>
    <w:tmpl w:val="66F89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48645C"/>
    <w:multiLevelType w:val="hybridMultilevel"/>
    <w:tmpl w:val="60D4131C"/>
    <w:lvl w:ilvl="0" w:tplc="8B582378">
      <w:start w:val="1"/>
      <w:numFmt w:val="decimal"/>
      <w:pStyle w:val="Parties"/>
      <w:lvlText w:val="(%1)"/>
      <w:lvlJc w:val="left"/>
      <w:pPr>
        <w:tabs>
          <w:tab w:val="num" w:pos="709"/>
        </w:tabs>
        <w:ind w:left="709" w:hanging="567"/>
      </w:pPr>
      <w:rPr>
        <w:rFonts w:cs="Times New Roman" w:hint="default"/>
        <w:b/>
        <w:i w:val="0"/>
      </w:rPr>
    </w:lvl>
    <w:lvl w:ilvl="1" w:tplc="13260912" w:tentative="1">
      <w:start w:val="1"/>
      <w:numFmt w:val="lowerLetter"/>
      <w:lvlText w:val="%2."/>
      <w:lvlJc w:val="left"/>
      <w:pPr>
        <w:tabs>
          <w:tab w:val="num" w:pos="1440"/>
        </w:tabs>
        <w:ind w:left="1440" w:hanging="360"/>
      </w:pPr>
      <w:rPr>
        <w:rFonts w:cs="Times New Roman"/>
      </w:rPr>
    </w:lvl>
    <w:lvl w:ilvl="2" w:tplc="7A0819B2" w:tentative="1">
      <w:start w:val="1"/>
      <w:numFmt w:val="lowerRoman"/>
      <w:lvlText w:val="%3."/>
      <w:lvlJc w:val="right"/>
      <w:pPr>
        <w:tabs>
          <w:tab w:val="num" w:pos="2160"/>
        </w:tabs>
        <w:ind w:left="2160" w:hanging="180"/>
      </w:pPr>
      <w:rPr>
        <w:rFonts w:cs="Times New Roman"/>
      </w:rPr>
    </w:lvl>
    <w:lvl w:ilvl="3" w:tplc="0728D8D2" w:tentative="1">
      <w:start w:val="1"/>
      <w:numFmt w:val="decimal"/>
      <w:lvlText w:val="%4."/>
      <w:lvlJc w:val="left"/>
      <w:pPr>
        <w:tabs>
          <w:tab w:val="num" w:pos="2880"/>
        </w:tabs>
        <w:ind w:left="2880" w:hanging="360"/>
      </w:pPr>
      <w:rPr>
        <w:rFonts w:cs="Times New Roman"/>
      </w:rPr>
    </w:lvl>
    <w:lvl w:ilvl="4" w:tplc="79A8A54A" w:tentative="1">
      <w:start w:val="1"/>
      <w:numFmt w:val="lowerLetter"/>
      <w:lvlText w:val="%5."/>
      <w:lvlJc w:val="left"/>
      <w:pPr>
        <w:tabs>
          <w:tab w:val="num" w:pos="3600"/>
        </w:tabs>
        <w:ind w:left="3600" w:hanging="360"/>
      </w:pPr>
      <w:rPr>
        <w:rFonts w:cs="Times New Roman"/>
      </w:rPr>
    </w:lvl>
    <w:lvl w:ilvl="5" w:tplc="9B86EC8A" w:tentative="1">
      <w:start w:val="1"/>
      <w:numFmt w:val="lowerRoman"/>
      <w:lvlText w:val="%6."/>
      <w:lvlJc w:val="right"/>
      <w:pPr>
        <w:tabs>
          <w:tab w:val="num" w:pos="4320"/>
        </w:tabs>
        <w:ind w:left="4320" w:hanging="180"/>
      </w:pPr>
      <w:rPr>
        <w:rFonts w:cs="Times New Roman"/>
      </w:rPr>
    </w:lvl>
    <w:lvl w:ilvl="6" w:tplc="15EEBADA" w:tentative="1">
      <w:start w:val="1"/>
      <w:numFmt w:val="decimal"/>
      <w:lvlText w:val="%7."/>
      <w:lvlJc w:val="left"/>
      <w:pPr>
        <w:tabs>
          <w:tab w:val="num" w:pos="5040"/>
        </w:tabs>
        <w:ind w:left="5040" w:hanging="360"/>
      </w:pPr>
      <w:rPr>
        <w:rFonts w:cs="Times New Roman"/>
      </w:rPr>
    </w:lvl>
    <w:lvl w:ilvl="7" w:tplc="C61EF1B6" w:tentative="1">
      <w:start w:val="1"/>
      <w:numFmt w:val="lowerLetter"/>
      <w:lvlText w:val="%8."/>
      <w:lvlJc w:val="left"/>
      <w:pPr>
        <w:tabs>
          <w:tab w:val="num" w:pos="5760"/>
        </w:tabs>
        <w:ind w:left="5760" w:hanging="360"/>
      </w:pPr>
      <w:rPr>
        <w:rFonts w:cs="Times New Roman"/>
      </w:rPr>
    </w:lvl>
    <w:lvl w:ilvl="8" w:tplc="6492B090" w:tentative="1">
      <w:start w:val="1"/>
      <w:numFmt w:val="lowerRoman"/>
      <w:lvlText w:val="%9."/>
      <w:lvlJc w:val="right"/>
      <w:pPr>
        <w:tabs>
          <w:tab w:val="num" w:pos="6480"/>
        </w:tabs>
        <w:ind w:left="6480" w:hanging="180"/>
      </w:pPr>
      <w:rPr>
        <w:rFonts w:cs="Times New Roman"/>
      </w:rPr>
    </w:lvl>
  </w:abstractNum>
  <w:abstractNum w:abstractNumId="6" w15:restartNumberingAfterBreak="0">
    <w:nsid w:val="0C7A57D0"/>
    <w:multiLevelType w:val="hybridMultilevel"/>
    <w:tmpl w:val="3EBE5D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0F22422C"/>
    <w:multiLevelType w:val="hybridMultilevel"/>
    <w:tmpl w:val="C2585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BA63EB"/>
    <w:multiLevelType w:val="hybridMultilevel"/>
    <w:tmpl w:val="156043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54A769E"/>
    <w:multiLevelType w:val="hybridMultilevel"/>
    <w:tmpl w:val="CE74D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C7163A9"/>
    <w:multiLevelType w:val="hybridMultilevel"/>
    <w:tmpl w:val="088C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eading9"/>
      <w:lvlText w:val=""/>
      <w:lvlJc w:val="left"/>
      <w:pPr>
        <w:ind w:left="6480" w:hanging="360"/>
      </w:pPr>
      <w:rPr>
        <w:rFonts w:ascii="Wingdings" w:hAnsi="Wingdings" w:hint="default"/>
      </w:rPr>
    </w:lvl>
  </w:abstractNum>
  <w:abstractNum w:abstractNumId="12" w15:restartNumberingAfterBreak="0">
    <w:nsid w:val="1DAB6C12"/>
    <w:multiLevelType w:val="hybridMultilevel"/>
    <w:tmpl w:val="8744D650"/>
    <w:lvl w:ilvl="0" w:tplc="D2E8CA9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162F55"/>
    <w:multiLevelType w:val="hybridMultilevel"/>
    <w:tmpl w:val="3BE40B88"/>
    <w:lvl w:ilvl="0" w:tplc="04050013">
      <w:start w:val="1"/>
      <w:numFmt w:val="upp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1753AF"/>
    <w:multiLevelType w:val="hybridMultilevel"/>
    <w:tmpl w:val="4AB208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4643F12"/>
    <w:multiLevelType w:val="hybridMultilevel"/>
    <w:tmpl w:val="A02C2DA2"/>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0326B8"/>
    <w:multiLevelType w:val="hybridMultilevel"/>
    <w:tmpl w:val="CDFCD1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28CF57BA"/>
    <w:multiLevelType w:val="hybridMultilevel"/>
    <w:tmpl w:val="62446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9F443A0"/>
    <w:multiLevelType w:val="hybridMultilevel"/>
    <w:tmpl w:val="0ACEC830"/>
    <w:lvl w:ilvl="0" w:tplc="78CA6002">
      <w:start w:val="1"/>
      <w:numFmt w:val="bullet"/>
      <w:lvlText w:val="•"/>
      <w:lvlJc w:val="left"/>
      <w:pPr>
        <w:tabs>
          <w:tab w:val="num" w:pos="720"/>
        </w:tabs>
        <w:ind w:left="720" w:hanging="360"/>
      </w:pPr>
      <w:rPr>
        <w:rFonts w:ascii="Arial" w:hAnsi="Arial" w:hint="default"/>
      </w:rPr>
    </w:lvl>
    <w:lvl w:ilvl="1" w:tplc="9544C952">
      <w:numFmt w:val="bullet"/>
      <w:lvlText w:val="•"/>
      <w:lvlJc w:val="left"/>
      <w:pPr>
        <w:tabs>
          <w:tab w:val="num" w:pos="1440"/>
        </w:tabs>
        <w:ind w:left="1440" w:hanging="360"/>
      </w:pPr>
      <w:rPr>
        <w:rFonts w:ascii="Arial" w:hAnsi="Arial" w:hint="default"/>
      </w:rPr>
    </w:lvl>
    <w:lvl w:ilvl="2" w:tplc="E3E0B3CC" w:tentative="1">
      <w:start w:val="1"/>
      <w:numFmt w:val="bullet"/>
      <w:lvlText w:val="•"/>
      <w:lvlJc w:val="left"/>
      <w:pPr>
        <w:tabs>
          <w:tab w:val="num" w:pos="2160"/>
        </w:tabs>
        <w:ind w:left="2160" w:hanging="360"/>
      </w:pPr>
      <w:rPr>
        <w:rFonts w:ascii="Arial" w:hAnsi="Arial" w:hint="default"/>
      </w:rPr>
    </w:lvl>
    <w:lvl w:ilvl="3" w:tplc="2B16362A" w:tentative="1">
      <w:start w:val="1"/>
      <w:numFmt w:val="bullet"/>
      <w:lvlText w:val="•"/>
      <w:lvlJc w:val="left"/>
      <w:pPr>
        <w:tabs>
          <w:tab w:val="num" w:pos="2880"/>
        </w:tabs>
        <w:ind w:left="2880" w:hanging="360"/>
      </w:pPr>
      <w:rPr>
        <w:rFonts w:ascii="Arial" w:hAnsi="Arial" w:hint="default"/>
      </w:rPr>
    </w:lvl>
    <w:lvl w:ilvl="4" w:tplc="6700F6C6" w:tentative="1">
      <w:start w:val="1"/>
      <w:numFmt w:val="bullet"/>
      <w:lvlText w:val="•"/>
      <w:lvlJc w:val="left"/>
      <w:pPr>
        <w:tabs>
          <w:tab w:val="num" w:pos="3600"/>
        </w:tabs>
        <w:ind w:left="3600" w:hanging="360"/>
      </w:pPr>
      <w:rPr>
        <w:rFonts w:ascii="Arial" w:hAnsi="Arial" w:hint="default"/>
      </w:rPr>
    </w:lvl>
    <w:lvl w:ilvl="5" w:tplc="B796A140" w:tentative="1">
      <w:start w:val="1"/>
      <w:numFmt w:val="bullet"/>
      <w:lvlText w:val="•"/>
      <w:lvlJc w:val="left"/>
      <w:pPr>
        <w:tabs>
          <w:tab w:val="num" w:pos="4320"/>
        </w:tabs>
        <w:ind w:left="4320" w:hanging="360"/>
      </w:pPr>
      <w:rPr>
        <w:rFonts w:ascii="Arial" w:hAnsi="Arial" w:hint="default"/>
      </w:rPr>
    </w:lvl>
    <w:lvl w:ilvl="6" w:tplc="9BAC887E" w:tentative="1">
      <w:start w:val="1"/>
      <w:numFmt w:val="bullet"/>
      <w:lvlText w:val="•"/>
      <w:lvlJc w:val="left"/>
      <w:pPr>
        <w:tabs>
          <w:tab w:val="num" w:pos="5040"/>
        </w:tabs>
        <w:ind w:left="5040" w:hanging="360"/>
      </w:pPr>
      <w:rPr>
        <w:rFonts w:ascii="Arial" w:hAnsi="Arial" w:hint="default"/>
      </w:rPr>
    </w:lvl>
    <w:lvl w:ilvl="7" w:tplc="F198F92E" w:tentative="1">
      <w:start w:val="1"/>
      <w:numFmt w:val="bullet"/>
      <w:lvlText w:val="•"/>
      <w:lvlJc w:val="left"/>
      <w:pPr>
        <w:tabs>
          <w:tab w:val="num" w:pos="5760"/>
        </w:tabs>
        <w:ind w:left="5760" w:hanging="360"/>
      </w:pPr>
      <w:rPr>
        <w:rFonts w:ascii="Arial" w:hAnsi="Arial" w:hint="default"/>
      </w:rPr>
    </w:lvl>
    <w:lvl w:ilvl="8" w:tplc="FBAEDD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F663CF"/>
    <w:multiLevelType w:val="hybridMultilevel"/>
    <w:tmpl w:val="AABC7FCA"/>
    <w:lvl w:ilvl="0" w:tplc="CF904F28">
      <w:start w:val="1"/>
      <w:numFmt w:val="lowerLetter"/>
      <w:pStyle w:val="abcAufzhlung"/>
      <w:lvlText w:val="%1."/>
      <w:lvlJc w:val="left"/>
      <w:pPr>
        <w:tabs>
          <w:tab w:val="num" w:pos="284"/>
        </w:tabs>
        <w:ind w:left="284" w:hanging="284"/>
      </w:pPr>
      <w:rPr>
        <w:rFonts w:ascii="Arial" w:hAnsi="Aria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043424E"/>
    <w:multiLevelType w:val="hybridMultilevel"/>
    <w:tmpl w:val="CECE519A"/>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308D4920"/>
    <w:multiLevelType w:val="hybridMultilevel"/>
    <w:tmpl w:val="3E18B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3AB5949"/>
    <w:multiLevelType w:val="hybridMultilevel"/>
    <w:tmpl w:val="811A5FC4"/>
    <w:lvl w:ilvl="0" w:tplc="D2E8CA9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CD1DFF"/>
    <w:multiLevelType w:val="hybridMultilevel"/>
    <w:tmpl w:val="E23E2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F06FDE"/>
    <w:multiLevelType w:val="hybridMultilevel"/>
    <w:tmpl w:val="BE2C2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BDE78D4"/>
    <w:multiLevelType w:val="hybridMultilevel"/>
    <w:tmpl w:val="9B9E8018"/>
    <w:lvl w:ilvl="0" w:tplc="10DE9912">
      <w:start w:val="1"/>
      <w:numFmt w:val="decimal"/>
      <w:lvlText w:val="(%1)"/>
      <w:lvlJc w:val="left"/>
      <w:pPr>
        <w:tabs>
          <w:tab w:val="num" w:pos="735"/>
        </w:tabs>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E213256"/>
    <w:multiLevelType w:val="hybridMultilevel"/>
    <w:tmpl w:val="763662B8"/>
    <w:lvl w:ilvl="0" w:tplc="0407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3F2E062E"/>
    <w:multiLevelType w:val="multilevel"/>
    <w:tmpl w:val="F9C6C814"/>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575" w:hanging="292"/>
      </w:pPr>
      <w:rPr>
        <w:rFonts w:hint="default"/>
      </w:rPr>
    </w:lvl>
    <w:lvl w:ilvl="2">
      <w:start w:val="1"/>
      <w:numFmt w:val="decimal"/>
      <w:pStyle w:val="Heading3"/>
      <w:lvlText w:val="%1-%2-%3"/>
      <w:lvlJc w:val="left"/>
      <w:pPr>
        <w:tabs>
          <w:tab w:val="num" w:pos="1134"/>
        </w:tabs>
        <w:ind w:left="720" w:hanging="153"/>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2" w:hanging="11"/>
      </w:pPr>
      <w:rPr>
        <w:rFonts w:hint="default"/>
        <w:sz w:val="24"/>
      </w:rPr>
    </w:lvl>
    <w:lvl w:ilvl="4">
      <w:start w:val="1"/>
      <w:numFmt w:val="decimal"/>
      <w:pStyle w:val="Heading5"/>
      <w:lvlText w:val="%1-%2-%3-%4-%5"/>
      <w:lvlJc w:val="left"/>
      <w:pPr>
        <w:ind w:left="1008" w:firstLine="126"/>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2237821"/>
    <w:multiLevelType w:val="hybridMultilevel"/>
    <w:tmpl w:val="9586D546"/>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29" w15:restartNumberingAfterBreak="0">
    <w:nsid w:val="4322424E"/>
    <w:multiLevelType w:val="hybridMultilevel"/>
    <w:tmpl w:val="F55ECD70"/>
    <w:lvl w:ilvl="0" w:tplc="DC60D16E">
      <w:start w:val="1"/>
      <w:numFmt w:val="low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45F3EE3"/>
    <w:multiLevelType w:val="hybridMultilevel"/>
    <w:tmpl w:val="9DC043B4"/>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31" w15:restartNumberingAfterBreak="0">
    <w:nsid w:val="49C96DC9"/>
    <w:multiLevelType w:val="hybridMultilevel"/>
    <w:tmpl w:val="5868E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A1144EC"/>
    <w:multiLevelType w:val="hybridMultilevel"/>
    <w:tmpl w:val="B26E9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CF101E0"/>
    <w:multiLevelType w:val="hybridMultilevel"/>
    <w:tmpl w:val="2E643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F5F2C6A"/>
    <w:multiLevelType w:val="hybridMultilevel"/>
    <w:tmpl w:val="3266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F761FCD"/>
    <w:multiLevelType w:val="hybridMultilevel"/>
    <w:tmpl w:val="82B4B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0062C06"/>
    <w:multiLevelType w:val="hybridMultilevel"/>
    <w:tmpl w:val="3A089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16C6407"/>
    <w:multiLevelType w:val="hybridMultilevel"/>
    <w:tmpl w:val="30DCE5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533A1E47"/>
    <w:multiLevelType w:val="hybridMultilevel"/>
    <w:tmpl w:val="8C32F5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547B467E"/>
    <w:multiLevelType w:val="hybridMultilevel"/>
    <w:tmpl w:val="385A6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65E2CC5"/>
    <w:multiLevelType w:val="hybridMultilevel"/>
    <w:tmpl w:val="7FC4F2D6"/>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1" w15:restartNumberingAfterBreak="0">
    <w:nsid w:val="5B3B263E"/>
    <w:multiLevelType w:val="hybridMultilevel"/>
    <w:tmpl w:val="27FAEF58"/>
    <w:lvl w:ilvl="0" w:tplc="040E0001">
      <w:start w:val="1"/>
      <w:numFmt w:val="bullet"/>
      <w:lvlText w:val=""/>
      <w:lvlJc w:val="left"/>
      <w:pPr>
        <w:ind w:left="1440" w:hanging="360"/>
      </w:pPr>
      <w:rPr>
        <w:rFonts w:ascii="Symbol" w:hAnsi="Symbol" w:hint="default"/>
      </w:rPr>
    </w:lvl>
    <w:lvl w:ilvl="1" w:tplc="83E8E93E">
      <w:numFmt w:val="bullet"/>
      <w:lvlText w:val="•"/>
      <w:lvlJc w:val="left"/>
      <w:pPr>
        <w:ind w:left="2160" w:hanging="360"/>
      </w:pPr>
      <w:rPr>
        <w:rFonts w:ascii="Calibri" w:eastAsiaTheme="minorHAnsi" w:hAnsi="Calibri" w:cstheme="minorBidi"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2" w15:restartNumberingAfterBreak="0">
    <w:nsid w:val="5FE105C2"/>
    <w:multiLevelType w:val="hybridMultilevel"/>
    <w:tmpl w:val="AE06D0C8"/>
    <w:lvl w:ilvl="0" w:tplc="E486A53E">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2035501"/>
    <w:multiLevelType w:val="hybridMultilevel"/>
    <w:tmpl w:val="D22C5FAE"/>
    <w:lvl w:ilvl="0" w:tplc="D51AEE20">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30E605B"/>
    <w:multiLevelType w:val="hybridMultilevel"/>
    <w:tmpl w:val="94C6D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7975CA1"/>
    <w:multiLevelType w:val="hybridMultilevel"/>
    <w:tmpl w:val="B84489D8"/>
    <w:lvl w:ilvl="0" w:tplc="04050013">
      <w:start w:val="1"/>
      <w:numFmt w:val="upp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8682833"/>
    <w:multiLevelType w:val="hybridMultilevel"/>
    <w:tmpl w:val="F918AB34"/>
    <w:lvl w:ilvl="0" w:tplc="0E204B5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6BFA2536"/>
    <w:multiLevelType w:val="hybridMultilevel"/>
    <w:tmpl w:val="5FFEE9A4"/>
    <w:lvl w:ilvl="0" w:tplc="6AC2F6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3A5DEF"/>
    <w:multiLevelType w:val="hybridMultilevel"/>
    <w:tmpl w:val="C03E9336"/>
    <w:lvl w:ilvl="0" w:tplc="EE84055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F444CB1"/>
    <w:multiLevelType w:val="hybridMultilevel"/>
    <w:tmpl w:val="E982C2EC"/>
    <w:lvl w:ilvl="0" w:tplc="040E000F">
      <w:start w:val="1"/>
      <w:numFmt w:val="decimal"/>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0" w15:restartNumberingAfterBreak="0">
    <w:nsid w:val="6F5A2D40"/>
    <w:multiLevelType w:val="hybridMultilevel"/>
    <w:tmpl w:val="5B94A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2AC79B6"/>
    <w:multiLevelType w:val="hybridMultilevel"/>
    <w:tmpl w:val="22E8642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2" w15:restartNumberingAfterBreak="0">
    <w:nsid w:val="762711C2"/>
    <w:multiLevelType w:val="hybridMultilevel"/>
    <w:tmpl w:val="DCD0BA56"/>
    <w:lvl w:ilvl="0" w:tplc="1B3E65AC">
      <w:start w:val="1"/>
      <w:numFmt w:val="decimal"/>
      <w:lvlText w:val="%1."/>
      <w:lvlJc w:val="left"/>
      <w:pPr>
        <w:ind w:left="360" w:hanging="360"/>
      </w:pPr>
      <w:rPr>
        <w:rFonts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78A52A4C"/>
    <w:multiLevelType w:val="hybridMultilevel"/>
    <w:tmpl w:val="AFACD862"/>
    <w:lvl w:ilvl="0" w:tplc="ADB800F4">
      <w:start w:val="1"/>
      <w:numFmt w:val="bullet"/>
      <w:pStyle w:val="AufzhlungPunkte"/>
      <w:lvlText w:val=""/>
      <w:lvlJc w:val="left"/>
      <w:pPr>
        <w:tabs>
          <w:tab w:val="num" w:pos="360"/>
        </w:tabs>
        <w:ind w:left="284" w:hanging="284"/>
      </w:pPr>
      <w:rPr>
        <w:rFonts w:ascii="Symbol" w:hAnsi="Symbol" w:hint="default"/>
        <w:color w:val="auto"/>
      </w:rPr>
    </w:lvl>
    <w:lvl w:ilvl="1" w:tplc="D15AF98E">
      <w:start w:val="1"/>
      <w:numFmt w:val="bullet"/>
      <w:lvlText w:val="o"/>
      <w:lvlJc w:val="left"/>
      <w:pPr>
        <w:tabs>
          <w:tab w:val="num" w:pos="1440"/>
        </w:tabs>
        <w:ind w:left="1440" w:hanging="360"/>
      </w:pPr>
      <w:rPr>
        <w:rFonts w:ascii="Courier New" w:hAnsi="Courier New" w:hint="default"/>
      </w:rPr>
    </w:lvl>
    <w:lvl w:ilvl="2" w:tplc="61509CF4" w:tentative="1">
      <w:start w:val="1"/>
      <w:numFmt w:val="bullet"/>
      <w:lvlText w:val=""/>
      <w:lvlJc w:val="left"/>
      <w:pPr>
        <w:tabs>
          <w:tab w:val="num" w:pos="2160"/>
        </w:tabs>
        <w:ind w:left="2160" w:hanging="360"/>
      </w:pPr>
      <w:rPr>
        <w:rFonts w:ascii="Wingdings" w:hAnsi="Wingdings" w:hint="default"/>
      </w:rPr>
    </w:lvl>
    <w:lvl w:ilvl="3" w:tplc="B6C08938" w:tentative="1">
      <w:start w:val="1"/>
      <w:numFmt w:val="bullet"/>
      <w:lvlText w:val=""/>
      <w:lvlJc w:val="left"/>
      <w:pPr>
        <w:tabs>
          <w:tab w:val="num" w:pos="2880"/>
        </w:tabs>
        <w:ind w:left="2880" w:hanging="360"/>
      </w:pPr>
      <w:rPr>
        <w:rFonts w:ascii="Symbol" w:hAnsi="Symbol" w:hint="default"/>
      </w:rPr>
    </w:lvl>
    <w:lvl w:ilvl="4" w:tplc="CE2ABBC4" w:tentative="1">
      <w:start w:val="1"/>
      <w:numFmt w:val="bullet"/>
      <w:lvlText w:val="o"/>
      <w:lvlJc w:val="left"/>
      <w:pPr>
        <w:tabs>
          <w:tab w:val="num" w:pos="3600"/>
        </w:tabs>
        <w:ind w:left="3600" w:hanging="360"/>
      </w:pPr>
      <w:rPr>
        <w:rFonts w:ascii="Courier New" w:hAnsi="Courier New" w:hint="default"/>
      </w:rPr>
    </w:lvl>
    <w:lvl w:ilvl="5" w:tplc="F180714C" w:tentative="1">
      <w:start w:val="1"/>
      <w:numFmt w:val="bullet"/>
      <w:lvlText w:val=""/>
      <w:lvlJc w:val="left"/>
      <w:pPr>
        <w:tabs>
          <w:tab w:val="num" w:pos="4320"/>
        </w:tabs>
        <w:ind w:left="4320" w:hanging="360"/>
      </w:pPr>
      <w:rPr>
        <w:rFonts w:ascii="Wingdings" w:hAnsi="Wingdings" w:hint="default"/>
      </w:rPr>
    </w:lvl>
    <w:lvl w:ilvl="6" w:tplc="FD4CD11A" w:tentative="1">
      <w:start w:val="1"/>
      <w:numFmt w:val="bullet"/>
      <w:lvlText w:val=""/>
      <w:lvlJc w:val="left"/>
      <w:pPr>
        <w:tabs>
          <w:tab w:val="num" w:pos="5040"/>
        </w:tabs>
        <w:ind w:left="5040" w:hanging="360"/>
      </w:pPr>
      <w:rPr>
        <w:rFonts w:ascii="Symbol" w:hAnsi="Symbol" w:hint="default"/>
      </w:rPr>
    </w:lvl>
    <w:lvl w:ilvl="7" w:tplc="4D144616" w:tentative="1">
      <w:start w:val="1"/>
      <w:numFmt w:val="bullet"/>
      <w:lvlText w:val="o"/>
      <w:lvlJc w:val="left"/>
      <w:pPr>
        <w:tabs>
          <w:tab w:val="num" w:pos="5760"/>
        </w:tabs>
        <w:ind w:left="5760" w:hanging="360"/>
      </w:pPr>
      <w:rPr>
        <w:rFonts w:ascii="Courier New" w:hAnsi="Courier New" w:hint="default"/>
      </w:rPr>
    </w:lvl>
    <w:lvl w:ilvl="8" w:tplc="21D4449E"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CE7133"/>
    <w:multiLevelType w:val="hybridMultilevel"/>
    <w:tmpl w:val="1DC21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BF700E3"/>
    <w:multiLevelType w:val="multilevel"/>
    <w:tmpl w:val="F91C53D8"/>
    <w:styleLink w:val="Formatvorlage1"/>
    <w:lvl w:ilvl="0">
      <w:start w:val="1"/>
      <w:numFmt w:val="decimal"/>
      <w:lvlText w:val="%1"/>
      <w:lvlJc w:val="left"/>
      <w:pPr>
        <w:tabs>
          <w:tab w:val="num" w:pos="1152"/>
        </w:tabs>
        <w:ind w:left="1152" w:hanging="432"/>
      </w:pPr>
      <w:rPr>
        <w:rFonts w:cs="Times New Roman" w:hint="default"/>
      </w:rPr>
    </w:lvl>
    <w:lvl w:ilvl="1">
      <w:start w:val="1"/>
      <w:numFmt w:val="decimal"/>
      <w:lvlText w:val="C.%2"/>
      <w:lvlJc w:val="left"/>
      <w:pPr>
        <w:tabs>
          <w:tab w:val="num" w:pos="2016"/>
        </w:tabs>
        <w:ind w:left="201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56" w15:restartNumberingAfterBreak="0">
    <w:nsid w:val="7C023DB0"/>
    <w:multiLevelType w:val="multilevel"/>
    <w:tmpl w:val="D45C5712"/>
    <w:lvl w:ilvl="0">
      <w:start w:val="1"/>
      <w:numFmt w:val="decimal"/>
      <w:lvlText w:val="(%1)"/>
      <w:lvlJc w:val="left"/>
      <w:pPr>
        <w:ind w:left="720" w:hanging="720"/>
      </w:pPr>
      <w:rPr>
        <w:rFonts w:hint="default"/>
        <w:b/>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57" w15:restartNumberingAfterBreak="0">
    <w:nsid w:val="7EA838D3"/>
    <w:multiLevelType w:val="hybridMultilevel"/>
    <w:tmpl w:val="7516712C"/>
    <w:lvl w:ilvl="0" w:tplc="1CB81A56">
      <w:start w:val="1"/>
      <w:numFmt w:val="bullet"/>
      <w:lvlText w:val="•"/>
      <w:lvlJc w:val="left"/>
      <w:pPr>
        <w:tabs>
          <w:tab w:val="num" w:pos="720"/>
        </w:tabs>
        <w:ind w:left="720" w:hanging="360"/>
      </w:pPr>
      <w:rPr>
        <w:rFonts w:ascii="Arial" w:hAnsi="Arial" w:cs="Times New Roman" w:hint="default"/>
      </w:rPr>
    </w:lvl>
    <w:lvl w:ilvl="1" w:tplc="ACB674C6">
      <w:start w:val="38"/>
      <w:numFmt w:val="bullet"/>
      <w:lvlText w:val="•"/>
      <w:lvlJc w:val="left"/>
      <w:pPr>
        <w:tabs>
          <w:tab w:val="num" w:pos="1440"/>
        </w:tabs>
        <w:ind w:left="1440" w:hanging="360"/>
      </w:pPr>
      <w:rPr>
        <w:rFonts w:ascii="Arial" w:hAnsi="Arial" w:cs="Times New Roman" w:hint="default"/>
      </w:rPr>
    </w:lvl>
    <w:lvl w:ilvl="2" w:tplc="32E63294">
      <w:start w:val="1"/>
      <w:numFmt w:val="bullet"/>
      <w:lvlText w:val="•"/>
      <w:lvlJc w:val="left"/>
      <w:pPr>
        <w:tabs>
          <w:tab w:val="num" w:pos="2160"/>
        </w:tabs>
        <w:ind w:left="2160" w:hanging="360"/>
      </w:pPr>
      <w:rPr>
        <w:rFonts w:ascii="Arial" w:hAnsi="Arial" w:cs="Times New Roman" w:hint="default"/>
      </w:rPr>
    </w:lvl>
    <w:lvl w:ilvl="3" w:tplc="AE92C950">
      <w:start w:val="1"/>
      <w:numFmt w:val="bullet"/>
      <w:lvlText w:val="•"/>
      <w:lvlJc w:val="left"/>
      <w:pPr>
        <w:tabs>
          <w:tab w:val="num" w:pos="2880"/>
        </w:tabs>
        <w:ind w:left="2880" w:hanging="360"/>
      </w:pPr>
      <w:rPr>
        <w:rFonts w:ascii="Arial" w:hAnsi="Arial" w:cs="Times New Roman" w:hint="default"/>
      </w:rPr>
    </w:lvl>
    <w:lvl w:ilvl="4" w:tplc="75C6A6B6">
      <w:start w:val="1"/>
      <w:numFmt w:val="bullet"/>
      <w:lvlText w:val="•"/>
      <w:lvlJc w:val="left"/>
      <w:pPr>
        <w:tabs>
          <w:tab w:val="num" w:pos="3600"/>
        </w:tabs>
        <w:ind w:left="3600" w:hanging="360"/>
      </w:pPr>
      <w:rPr>
        <w:rFonts w:ascii="Arial" w:hAnsi="Arial" w:cs="Times New Roman" w:hint="default"/>
      </w:rPr>
    </w:lvl>
    <w:lvl w:ilvl="5" w:tplc="48206B8E">
      <w:start w:val="1"/>
      <w:numFmt w:val="bullet"/>
      <w:lvlText w:val="•"/>
      <w:lvlJc w:val="left"/>
      <w:pPr>
        <w:tabs>
          <w:tab w:val="num" w:pos="4320"/>
        </w:tabs>
        <w:ind w:left="4320" w:hanging="360"/>
      </w:pPr>
      <w:rPr>
        <w:rFonts w:ascii="Arial" w:hAnsi="Arial" w:cs="Times New Roman" w:hint="default"/>
      </w:rPr>
    </w:lvl>
    <w:lvl w:ilvl="6" w:tplc="82649E88">
      <w:start w:val="1"/>
      <w:numFmt w:val="bullet"/>
      <w:lvlText w:val="•"/>
      <w:lvlJc w:val="left"/>
      <w:pPr>
        <w:tabs>
          <w:tab w:val="num" w:pos="5040"/>
        </w:tabs>
        <w:ind w:left="5040" w:hanging="360"/>
      </w:pPr>
      <w:rPr>
        <w:rFonts w:ascii="Arial" w:hAnsi="Arial" w:cs="Times New Roman" w:hint="default"/>
      </w:rPr>
    </w:lvl>
    <w:lvl w:ilvl="7" w:tplc="508A3288">
      <w:start w:val="1"/>
      <w:numFmt w:val="bullet"/>
      <w:lvlText w:val="•"/>
      <w:lvlJc w:val="left"/>
      <w:pPr>
        <w:tabs>
          <w:tab w:val="num" w:pos="5760"/>
        </w:tabs>
        <w:ind w:left="5760" w:hanging="360"/>
      </w:pPr>
      <w:rPr>
        <w:rFonts w:ascii="Arial" w:hAnsi="Arial" w:cs="Times New Roman" w:hint="default"/>
      </w:rPr>
    </w:lvl>
    <w:lvl w:ilvl="8" w:tplc="DB10A3D6">
      <w:start w:val="1"/>
      <w:numFmt w:val="bullet"/>
      <w:lvlText w:val="•"/>
      <w:lvlJc w:val="left"/>
      <w:pPr>
        <w:tabs>
          <w:tab w:val="num" w:pos="6480"/>
        </w:tabs>
        <w:ind w:left="6480" w:hanging="360"/>
      </w:pPr>
      <w:rPr>
        <w:rFonts w:ascii="Arial" w:hAnsi="Arial" w:cs="Times New Roman" w:hint="default"/>
      </w:rPr>
    </w:lvl>
  </w:abstractNum>
  <w:abstractNum w:abstractNumId="58" w15:restartNumberingAfterBreak="0">
    <w:nsid w:val="7F0E087D"/>
    <w:multiLevelType w:val="hybridMultilevel"/>
    <w:tmpl w:val="BB2E858E"/>
    <w:lvl w:ilvl="0" w:tplc="D2E8CA9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7F8F531F"/>
    <w:multiLevelType w:val="hybridMultilevel"/>
    <w:tmpl w:val="108E9D3A"/>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53"/>
  </w:num>
  <w:num w:numId="3">
    <w:abstractNumId w:val="55"/>
  </w:num>
  <w:num w:numId="4">
    <w:abstractNumId w:val="27"/>
  </w:num>
  <w:num w:numId="5">
    <w:abstractNumId w:val="1"/>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24"/>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3"/>
  </w:num>
  <w:num w:numId="13">
    <w:abstractNumId w:val="50"/>
  </w:num>
  <w:num w:numId="14">
    <w:abstractNumId w:val="4"/>
  </w:num>
  <w:num w:numId="15">
    <w:abstractNumId w:val="54"/>
  </w:num>
  <w:num w:numId="16">
    <w:abstractNumId w:val="7"/>
  </w:num>
  <w:num w:numId="17">
    <w:abstractNumId w:val="6"/>
  </w:num>
  <w:num w:numId="18">
    <w:abstractNumId w:val="2"/>
  </w:num>
  <w:num w:numId="19">
    <w:abstractNumId w:val="3"/>
  </w:num>
  <w:num w:numId="20">
    <w:abstractNumId w:val="27"/>
  </w:num>
  <w:num w:numId="21">
    <w:abstractNumId w:val="27"/>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9"/>
  </w:num>
  <w:num w:numId="38">
    <w:abstractNumId w:val="44"/>
  </w:num>
  <w:num w:numId="39">
    <w:abstractNumId w:val="36"/>
  </w:num>
  <w:num w:numId="40">
    <w:abstractNumId w:val="59"/>
  </w:num>
  <w:num w:numId="41">
    <w:abstractNumId w:val="37"/>
  </w:num>
  <w:num w:numId="42">
    <w:abstractNumId w:val="17"/>
  </w:num>
  <w:num w:numId="43">
    <w:abstractNumId w:val="14"/>
  </w:num>
  <w:num w:numId="44">
    <w:abstractNumId w:val="22"/>
  </w:num>
  <w:num w:numId="45">
    <w:abstractNumId w:val="31"/>
  </w:num>
  <w:num w:numId="46">
    <w:abstractNumId w:val="28"/>
  </w:num>
  <w:num w:numId="47">
    <w:abstractNumId w:val="21"/>
  </w:num>
  <w:num w:numId="48">
    <w:abstractNumId w:val="56"/>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num>
  <w:num w:numId="53">
    <w:abstractNumId w:val="46"/>
  </w:num>
  <w:num w:numId="54">
    <w:abstractNumId w:val="49"/>
  </w:num>
  <w:num w:numId="55">
    <w:abstractNumId w:val="8"/>
  </w:num>
  <w:num w:numId="56">
    <w:abstractNumId w:val="53"/>
  </w:num>
  <w:num w:numId="57">
    <w:abstractNumId w:val="57"/>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38"/>
  </w:num>
  <w:num w:numId="63">
    <w:abstractNumId w:val="40"/>
  </w:num>
  <w:num w:numId="64">
    <w:abstractNumId w:val="2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num>
  <w:num w:numId="71">
    <w:abstractNumId w:val="58"/>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num>
  <w:num w:numId="74">
    <w:abstractNumId w:val="35"/>
  </w:num>
  <w:num w:numId="75">
    <w:abstractNumId w:val="32"/>
  </w:num>
  <w:num w:numId="76">
    <w:abstractNumId w:val="25"/>
  </w:num>
  <w:num w:numId="77">
    <w:abstractNumId w:val="45"/>
  </w:num>
  <w:num w:numId="78">
    <w:abstractNumId w:val="13"/>
  </w:num>
  <w:num w:numId="79">
    <w:abstractNumId w:val="47"/>
  </w:num>
  <w:num w:numId="80">
    <w:abstractNumId w:val="43"/>
  </w:num>
  <w:num w:numId="81">
    <w:abstractNumId w:val="48"/>
  </w:num>
  <w:num w:numId="82">
    <w:abstractNumId w:val="39"/>
  </w:num>
  <w:num w:numId="83">
    <w:abstractNumId w:val="33"/>
  </w:num>
  <w:num w:numId="84">
    <w:abstractNumId w:val="34"/>
  </w:num>
  <w:num w:numId="85">
    <w:abstractNumId w:val="15"/>
  </w:num>
  <w:num w:numId="86">
    <w:abstractNumId w:val="29"/>
  </w:num>
  <w:num w:numId="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num>
  <w:num w:numId="90">
    <w:abstractNumId w:val="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AC"/>
    <w:rsid w:val="0000082E"/>
    <w:rsid w:val="00000E78"/>
    <w:rsid w:val="00001A24"/>
    <w:rsid w:val="00001A31"/>
    <w:rsid w:val="00002B89"/>
    <w:rsid w:val="00002E4F"/>
    <w:rsid w:val="00003578"/>
    <w:rsid w:val="000036A6"/>
    <w:rsid w:val="00004029"/>
    <w:rsid w:val="0000439F"/>
    <w:rsid w:val="00005738"/>
    <w:rsid w:val="0000582F"/>
    <w:rsid w:val="00005D02"/>
    <w:rsid w:val="00006FAA"/>
    <w:rsid w:val="00007142"/>
    <w:rsid w:val="0000774D"/>
    <w:rsid w:val="00007B9E"/>
    <w:rsid w:val="00007FCA"/>
    <w:rsid w:val="0001021F"/>
    <w:rsid w:val="0001045D"/>
    <w:rsid w:val="00013A5E"/>
    <w:rsid w:val="0001401F"/>
    <w:rsid w:val="00014316"/>
    <w:rsid w:val="00014CDB"/>
    <w:rsid w:val="00015466"/>
    <w:rsid w:val="0001681E"/>
    <w:rsid w:val="000171D7"/>
    <w:rsid w:val="0002021E"/>
    <w:rsid w:val="00020386"/>
    <w:rsid w:val="00020B5B"/>
    <w:rsid w:val="00020DDD"/>
    <w:rsid w:val="000219D5"/>
    <w:rsid w:val="0002209D"/>
    <w:rsid w:val="0002214C"/>
    <w:rsid w:val="00022334"/>
    <w:rsid w:val="00022DE4"/>
    <w:rsid w:val="00023C60"/>
    <w:rsid w:val="00023EAA"/>
    <w:rsid w:val="0002443D"/>
    <w:rsid w:val="00024869"/>
    <w:rsid w:val="00024BC8"/>
    <w:rsid w:val="00025183"/>
    <w:rsid w:val="000252B2"/>
    <w:rsid w:val="000265D1"/>
    <w:rsid w:val="000267A8"/>
    <w:rsid w:val="000268E7"/>
    <w:rsid w:val="00026C2F"/>
    <w:rsid w:val="000277AE"/>
    <w:rsid w:val="0002797B"/>
    <w:rsid w:val="0003023A"/>
    <w:rsid w:val="000303D9"/>
    <w:rsid w:val="0003099A"/>
    <w:rsid w:val="00030B2C"/>
    <w:rsid w:val="00030D3C"/>
    <w:rsid w:val="000315C5"/>
    <w:rsid w:val="0003183D"/>
    <w:rsid w:val="00031F42"/>
    <w:rsid w:val="00032646"/>
    <w:rsid w:val="00035040"/>
    <w:rsid w:val="00035A8B"/>
    <w:rsid w:val="00036B21"/>
    <w:rsid w:val="000371EE"/>
    <w:rsid w:val="000378AA"/>
    <w:rsid w:val="00037FBD"/>
    <w:rsid w:val="000400A4"/>
    <w:rsid w:val="00040D84"/>
    <w:rsid w:val="0004117B"/>
    <w:rsid w:val="000415B7"/>
    <w:rsid w:val="00041906"/>
    <w:rsid w:val="00043227"/>
    <w:rsid w:val="00043530"/>
    <w:rsid w:val="00043DFD"/>
    <w:rsid w:val="0004488A"/>
    <w:rsid w:val="00044A15"/>
    <w:rsid w:val="000455BD"/>
    <w:rsid w:val="000458A9"/>
    <w:rsid w:val="000458F2"/>
    <w:rsid w:val="000459A0"/>
    <w:rsid w:val="00045ED5"/>
    <w:rsid w:val="00045F83"/>
    <w:rsid w:val="000463F2"/>
    <w:rsid w:val="000468AE"/>
    <w:rsid w:val="00046B4C"/>
    <w:rsid w:val="00050A5F"/>
    <w:rsid w:val="00051DEE"/>
    <w:rsid w:val="000521A0"/>
    <w:rsid w:val="00052470"/>
    <w:rsid w:val="00052C39"/>
    <w:rsid w:val="00053303"/>
    <w:rsid w:val="000540F2"/>
    <w:rsid w:val="000544ED"/>
    <w:rsid w:val="000545B3"/>
    <w:rsid w:val="000547B4"/>
    <w:rsid w:val="00055053"/>
    <w:rsid w:val="0005512F"/>
    <w:rsid w:val="00057442"/>
    <w:rsid w:val="000579ED"/>
    <w:rsid w:val="00057B8E"/>
    <w:rsid w:val="000602C3"/>
    <w:rsid w:val="000603CF"/>
    <w:rsid w:val="00060F46"/>
    <w:rsid w:val="00060F52"/>
    <w:rsid w:val="00061034"/>
    <w:rsid w:val="00061609"/>
    <w:rsid w:val="00061BD1"/>
    <w:rsid w:val="000629C0"/>
    <w:rsid w:val="000635D3"/>
    <w:rsid w:val="0006368D"/>
    <w:rsid w:val="00063CE9"/>
    <w:rsid w:val="00063DFE"/>
    <w:rsid w:val="0006400A"/>
    <w:rsid w:val="000641BA"/>
    <w:rsid w:val="00064689"/>
    <w:rsid w:val="00064AF3"/>
    <w:rsid w:val="00064EBF"/>
    <w:rsid w:val="00065ED5"/>
    <w:rsid w:val="000661F1"/>
    <w:rsid w:val="00067361"/>
    <w:rsid w:val="00067DAD"/>
    <w:rsid w:val="00067DD0"/>
    <w:rsid w:val="00070026"/>
    <w:rsid w:val="000707A4"/>
    <w:rsid w:val="000710FE"/>
    <w:rsid w:val="0007110E"/>
    <w:rsid w:val="000715B8"/>
    <w:rsid w:val="00071A33"/>
    <w:rsid w:val="00071BAE"/>
    <w:rsid w:val="00072B30"/>
    <w:rsid w:val="00072E3A"/>
    <w:rsid w:val="00073A6F"/>
    <w:rsid w:val="00073C83"/>
    <w:rsid w:val="00073CEF"/>
    <w:rsid w:val="00073F89"/>
    <w:rsid w:val="000741F8"/>
    <w:rsid w:val="00074201"/>
    <w:rsid w:val="000746F7"/>
    <w:rsid w:val="00075462"/>
    <w:rsid w:val="00075472"/>
    <w:rsid w:val="000755B5"/>
    <w:rsid w:val="00075863"/>
    <w:rsid w:val="00075966"/>
    <w:rsid w:val="000759AD"/>
    <w:rsid w:val="00075A04"/>
    <w:rsid w:val="000800A3"/>
    <w:rsid w:val="00080E25"/>
    <w:rsid w:val="00081880"/>
    <w:rsid w:val="00081C7B"/>
    <w:rsid w:val="00082383"/>
    <w:rsid w:val="000824FA"/>
    <w:rsid w:val="00082677"/>
    <w:rsid w:val="00082AC3"/>
    <w:rsid w:val="000836FB"/>
    <w:rsid w:val="00083A61"/>
    <w:rsid w:val="00083E55"/>
    <w:rsid w:val="000840CB"/>
    <w:rsid w:val="0008558D"/>
    <w:rsid w:val="00085940"/>
    <w:rsid w:val="000862A5"/>
    <w:rsid w:val="00086642"/>
    <w:rsid w:val="00086757"/>
    <w:rsid w:val="00086970"/>
    <w:rsid w:val="00086A0D"/>
    <w:rsid w:val="00086B6D"/>
    <w:rsid w:val="00086DD9"/>
    <w:rsid w:val="00087162"/>
    <w:rsid w:val="00087A55"/>
    <w:rsid w:val="00090221"/>
    <w:rsid w:val="00090EA1"/>
    <w:rsid w:val="00090F5B"/>
    <w:rsid w:val="000913EE"/>
    <w:rsid w:val="000915CF"/>
    <w:rsid w:val="00091A38"/>
    <w:rsid w:val="00091E35"/>
    <w:rsid w:val="00091E97"/>
    <w:rsid w:val="00092F86"/>
    <w:rsid w:val="00093ACB"/>
    <w:rsid w:val="000946B9"/>
    <w:rsid w:val="00094819"/>
    <w:rsid w:val="00094F96"/>
    <w:rsid w:val="000950D3"/>
    <w:rsid w:val="00095656"/>
    <w:rsid w:val="00095668"/>
    <w:rsid w:val="00095D22"/>
    <w:rsid w:val="00096295"/>
    <w:rsid w:val="000968B4"/>
    <w:rsid w:val="000968C7"/>
    <w:rsid w:val="00096A28"/>
    <w:rsid w:val="00097BA0"/>
    <w:rsid w:val="00097BFB"/>
    <w:rsid w:val="000A0535"/>
    <w:rsid w:val="000A0738"/>
    <w:rsid w:val="000A1191"/>
    <w:rsid w:val="000A122B"/>
    <w:rsid w:val="000A1573"/>
    <w:rsid w:val="000A24C8"/>
    <w:rsid w:val="000A28F7"/>
    <w:rsid w:val="000A2A3B"/>
    <w:rsid w:val="000A36EE"/>
    <w:rsid w:val="000A3B58"/>
    <w:rsid w:val="000A3BD0"/>
    <w:rsid w:val="000A3CA2"/>
    <w:rsid w:val="000A4D0A"/>
    <w:rsid w:val="000A510B"/>
    <w:rsid w:val="000A515A"/>
    <w:rsid w:val="000A631F"/>
    <w:rsid w:val="000A678B"/>
    <w:rsid w:val="000A7BD1"/>
    <w:rsid w:val="000B047A"/>
    <w:rsid w:val="000B0C80"/>
    <w:rsid w:val="000B0E2E"/>
    <w:rsid w:val="000B19F5"/>
    <w:rsid w:val="000B1B2F"/>
    <w:rsid w:val="000B205B"/>
    <w:rsid w:val="000B25D4"/>
    <w:rsid w:val="000B2C64"/>
    <w:rsid w:val="000B2D3D"/>
    <w:rsid w:val="000B38CF"/>
    <w:rsid w:val="000B4048"/>
    <w:rsid w:val="000B644B"/>
    <w:rsid w:val="000B6520"/>
    <w:rsid w:val="000B71DF"/>
    <w:rsid w:val="000B7CA1"/>
    <w:rsid w:val="000C002F"/>
    <w:rsid w:val="000C0266"/>
    <w:rsid w:val="000C052D"/>
    <w:rsid w:val="000C0611"/>
    <w:rsid w:val="000C0616"/>
    <w:rsid w:val="000C0893"/>
    <w:rsid w:val="000C1068"/>
    <w:rsid w:val="000C1D4B"/>
    <w:rsid w:val="000C1ED4"/>
    <w:rsid w:val="000C3170"/>
    <w:rsid w:val="000C320D"/>
    <w:rsid w:val="000C3547"/>
    <w:rsid w:val="000C369D"/>
    <w:rsid w:val="000C488B"/>
    <w:rsid w:val="000C4C73"/>
    <w:rsid w:val="000C5008"/>
    <w:rsid w:val="000C50FC"/>
    <w:rsid w:val="000C5D1D"/>
    <w:rsid w:val="000C5F8B"/>
    <w:rsid w:val="000C6F86"/>
    <w:rsid w:val="000C75A4"/>
    <w:rsid w:val="000C7B24"/>
    <w:rsid w:val="000D12D0"/>
    <w:rsid w:val="000D1BF3"/>
    <w:rsid w:val="000D1D4D"/>
    <w:rsid w:val="000D1E55"/>
    <w:rsid w:val="000D206C"/>
    <w:rsid w:val="000D251F"/>
    <w:rsid w:val="000D2572"/>
    <w:rsid w:val="000D2597"/>
    <w:rsid w:val="000D310C"/>
    <w:rsid w:val="000D32D4"/>
    <w:rsid w:val="000D45A3"/>
    <w:rsid w:val="000D4637"/>
    <w:rsid w:val="000D4787"/>
    <w:rsid w:val="000D4A4C"/>
    <w:rsid w:val="000D639B"/>
    <w:rsid w:val="000D69C5"/>
    <w:rsid w:val="000D72A6"/>
    <w:rsid w:val="000D72E8"/>
    <w:rsid w:val="000E06FB"/>
    <w:rsid w:val="000E08B9"/>
    <w:rsid w:val="000E0A14"/>
    <w:rsid w:val="000E12A3"/>
    <w:rsid w:val="000E13F1"/>
    <w:rsid w:val="000E1CC0"/>
    <w:rsid w:val="000E222F"/>
    <w:rsid w:val="000E2646"/>
    <w:rsid w:val="000E296F"/>
    <w:rsid w:val="000E2B80"/>
    <w:rsid w:val="000E2D8B"/>
    <w:rsid w:val="000E35E0"/>
    <w:rsid w:val="000E4915"/>
    <w:rsid w:val="000E4C31"/>
    <w:rsid w:val="000E51FF"/>
    <w:rsid w:val="000E5BE2"/>
    <w:rsid w:val="000E6581"/>
    <w:rsid w:val="000E6BB2"/>
    <w:rsid w:val="000E736A"/>
    <w:rsid w:val="000E7A19"/>
    <w:rsid w:val="000E7DD9"/>
    <w:rsid w:val="000E7F5A"/>
    <w:rsid w:val="000F0122"/>
    <w:rsid w:val="000F01C0"/>
    <w:rsid w:val="000F1CFC"/>
    <w:rsid w:val="000F20B7"/>
    <w:rsid w:val="000F532B"/>
    <w:rsid w:val="000F5BC2"/>
    <w:rsid w:val="000F7019"/>
    <w:rsid w:val="000F73FA"/>
    <w:rsid w:val="001000D0"/>
    <w:rsid w:val="0010023B"/>
    <w:rsid w:val="001009AA"/>
    <w:rsid w:val="00100AB7"/>
    <w:rsid w:val="00100EC1"/>
    <w:rsid w:val="00100FA3"/>
    <w:rsid w:val="001010B3"/>
    <w:rsid w:val="0010204D"/>
    <w:rsid w:val="001023E8"/>
    <w:rsid w:val="0010384B"/>
    <w:rsid w:val="00104037"/>
    <w:rsid w:val="00104199"/>
    <w:rsid w:val="00104DBC"/>
    <w:rsid w:val="00105044"/>
    <w:rsid w:val="001055C9"/>
    <w:rsid w:val="001055CD"/>
    <w:rsid w:val="00105873"/>
    <w:rsid w:val="00106816"/>
    <w:rsid w:val="00106EC6"/>
    <w:rsid w:val="00107F75"/>
    <w:rsid w:val="00110580"/>
    <w:rsid w:val="00110B19"/>
    <w:rsid w:val="00111998"/>
    <w:rsid w:val="00111AA3"/>
    <w:rsid w:val="001139B6"/>
    <w:rsid w:val="00113DBA"/>
    <w:rsid w:val="00114202"/>
    <w:rsid w:val="0011450A"/>
    <w:rsid w:val="00114AD4"/>
    <w:rsid w:val="00115C7C"/>
    <w:rsid w:val="00115FDB"/>
    <w:rsid w:val="001165D9"/>
    <w:rsid w:val="001167BB"/>
    <w:rsid w:val="0011681D"/>
    <w:rsid w:val="00116AF2"/>
    <w:rsid w:val="00117465"/>
    <w:rsid w:val="001174A4"/>
    <w:rsid w:val="00120B4E"/>
    <w:rsid w:val="00120DDF"/>
    <w:rsid w:val="00121AB4"/>
    <w:rsid w:val="00122474"/>
    <w:rsid w:val="001229D8"/>
    <w:rsid w:val="00122F75"/>
    <w:rsid w:val="001231C0"/>
    <w:rsid w:val="0012415A"/>
    <w:rsid w:val="001247C3"/>
    <w:rsid w:val="00125244"/>
    <w:rsid w:val="00126D88"/>
    <w:rsid w:val="00126D94"/>
    <w:rsid w:val="00127B1C"/>
    <w:rsid w:val="00127E83"/>
    <w:rsid w:val="00130CEE"/>
    <w:rsid w:val="0013104E"/>
    <w:rsid w:val="00131525"/>
    <w:rsid w:val="00131DC5"/>
    <w:rsid w:val="001321B5"/>
    <w:rsid w:val="001326B6"/>
    <w:rsid w:val="0013284E"/>
    <w:rsid w:val="00133D19"/>
    <w:rsid w:val="00133F11"/>
    <w:rsid w:val="00134071"/>
    <w:rsid w:val="00135764"/>
    <w:rsid w:val="00135F5D"/>
    <w:rsid w:val="00136005"/>
    <w:rsid w:val="001369C5"/>
    <w:rsid w:val="00136DDD"/>
    <w:rsid w:val="00136DF0"/>
    <w:rsid w:val="00136EA2"/>
    <w:rsid w:val="00137192"/>
    <w:rsid w:val="001400A5"/>
    <w:rsid w:val="0014060B"/>
    <w:rsid w:val="0014154A"/>
    <w:rsid w:val="0014166C"/>
    <w:rsid w:val="00142536"/>
    <w:rsid w:val="0014338C"/>
    <w:rsid w:val="00143E0C"/>
    <w:rsid w:val="00144369"/>
    <w:rsid w:val="001448EB"/>
    <w:rsid w:val="00145AE2"/>
    <w:rsid w:val="001464DB"/>
    <w:rsid w:val="001464E9"/>
    <w:rsid w:val="0014650D"/>
    <w:rsid w:val="00146512"/>
    <w:rsid w:val="00147261"/>
    <w:rsid w:val="00150970"/>
    <w:rsid w:val="00150F0F"/>
    <w:rsid w:val="00150FBE"/>
    <w:rsid w:val="00151099"/>
    <w:rsid w:val="001511BB"/>
    <w:rsid w:val="0015226F"/>
    <w:rsid w:val="0015360B"/>
    <w:rsid w:val="00153BDB"/>
    <w:rsid w:val="0015424F"/>
    <w:rsid w:val="00154592"/>
    <w:rsid w:val="00155236"/>
    <w:rsid w:val="00155BB3"/>
    <w:rsid w:val="001564D2"/>
    <w:rsid w:val="00156F48"/>
    <w:rsid w:val="001575BB"/>
    <w:rsid w:val="001617AA"/>
    <w:rsid w:val="001617D9"/>
    <w:rsid w:val="00161867"/>
    <w:rsid w:val="001623F8"/>
    <w:rsid w:val="001624F6"/>
    <w:rsid w:val="001629A0"/>
    <w:rsid w:val="001631FC"/>
    <w:rsid w:val="00163963"/>
    <w:rsid w:val="00163DF6"/>
    <w:rsid w:val="001640B2"/>
    <w:rsid w:val="0016439A"/>
    <w:rsid w:val="00165105"/>
    <w:rsid w:val="001658E7"/>
    <w:rsid w:val="00165AB9"/>
    <w:rsid w:val="00165C1D"/>
    <w:rsid w:val="00165C3A"/>
    <w:rsid w:val="00165F0E"/>
    <w:rsid w:val="001660F1"/>
    <w:rsid w:val="00166927"/>
    <w:rsid w:val="00166E11"/>
    <w:rsid w:val="0016716E"/>
    <w:rsid w:val="001674E0"/>
    <w:rsid w:val="0016784C"/>
    <w:rsid w:val="0017019D"/>
    <w:rsid w:val="001706C7"/>
    <w:rsid w:val="00170F90"/>
    <w:rsid w:val="00171103"/>
    <w:rsid w:val="0017181D"/>
    <w:rsid w:val="001718C8"/>
    <w:rsid w:val="00171AF5"/>
    <w:rsid w:val="00172D45"/>
    <w:rsid w:val="001730B4"/>
    <w:rsid w:val="00173B2C"/>
    <w:rsid w:val="00173E2C"/>
    <w:rsid w:val="00174280"/>
    <w:rsid w:val="00174A05"/>
    <w:rsid w:val="0017525A"/>
    <w:rsid w:val="0017602B"/>
    <w:rsid w:val="0017653A"/>
    <w:rsid w:val="001776CA"/>
    <w:rsid w:val="00177B85"/>
    <w:rsid w:val="00180279"/>
    <w:rsid w:val="00180552"/>
    <w:rsid w:val="0018175F"/>
    <w:rsid w:val="001820F6"/>
    <w:rsid w:val="001826FE"/>
    <w:rsid w:val="00182A15"/>
    <w:rsid w:val="00183693"/>
    <w:rsid w:val="00183D00"/>
    <w:rsid w:val="001841E3"/>
    <w:rsid w:val="00184274"/>
    <w:rsid w:val="00185466"/>
    <w:rsid w:val="001855C0"/>
    <w:rsid w:val="001856B9"/>
    <w:rsid w:val="00185DE0"/>
    <w:rsid w:val="00185ECC"/>
    <w:rsid w:val="001866A6"/>
    <w:rsid w:val="0018729C"/>
    <w:rsid w:val="0018730B"/>
    <w:rsid w:val="0018783B"/>
    <w:rsid w:val="00191931"/>
    <w:rsid w:val="00191C98"/>
    <w:rsid w:val="001921A0"/>
    <w:rsid w:val="0019253D"/>
    <w:rsid w:val="00192676"/>
    <w:rsid w:val="00192767"/>
    <w:rsid w:val="001929D8"/>
    <w:rsid w:val="0019363E"/>
    <w:rsid w:val="0019468E"/>
    <w:rsid w:val="00195A41"/>
    <w:rsid w:val="00195A70"/>
    <w:rsid w:val="00195DDB"/>
    <w:rsid w:val="001961A8"/>
    <w:rsid w:val="0019632C"/>
    <w:rsid w:val="00196494"/>
    <w:rsid w:val="00196B92"/>
    <w:rsid w:val="001971E1"/>
    <w:rsid w:val="00197942"/>
    <w:rsid w:val="00197DA8"/>
    <w:rsid w:val="001A0698"/>
    <w:rsid w:val="001A0B25"/>
    <w:rsid w:val="001A0BCD"/>
    <w:rsid w:val="001A0D3F"/>
    <w:rsid w:val="001A18F6"/>
    <w:rsid w:val="001A2944"/>
    <w:rsid w:val="001A2A6C"/>
    <w:rsid w:val="001A2DE0"/>
    <w:rsid w:val="001A3228"/>
    <w:rsid w:val="001A4047"/>
    <w:rsid w:val="001A43F3"/>
    <w:rsid w:val="001A5412"/>
    <w:rsid w:val="001A5BDB"/>
    <w:rsid w:val="001A6012"/>
    <w:rsid w:val="001A6465"/>
    <w:rsid w:val="001A6AAE"/>
    <w:rsid w:val="001A6B98"/>
    <w:rsid w:val="001A787F"/>
    <w:rsid w:val="001A7945"/>
    <w:rsid w:val="001A7B82"/>
    <w:rsid w:val="001B00A5"/>
    <w:rsid w:val="001B0135"/>
    <w:rsid w:val="001B0CF1"/>
    <w:rsid w:val="001B107D"/>
    <w:rsid w:val="001B10D7"/>
    <w:rsid w:val="001B116A"/>
    <w:rsid w:val="001B1356"/>
    <w:rsid w:val="001B1C01"/>
    <w:rsid w:val="001B1FFD"/>
    <w:rsid w:val="001B2ED4"/>
    <w:rsid w:val="001B308D"/>
    <w:rsid w:val="001B3CC5"/>
    <w:rsid w:val="001B4A27"/>
    <w:rsid w:val="001B4B5C"/>
    <w:rsid w:val="001B536E"/>
    <w:rsid w:val="001B5501"/>
    <w:rsid w:val="001B5B58"/>
    <w:rsid w:val="001B5CD2"/>
    <w:rsid w:val="001B6721"/>
    <w:rsid w:val="001B6923"/>
    <w:rsid w:val="001B696B"/>
    <w:rsid w:val="001B735B"/>
    <w:rsid w:val="001B75C2"/>
    <w:rsid w:val="001B77F3"/>
    <w:rsid w:val="001B7D05"/>
    <w:rsid w:val="001B7E2F"/>
    <w:rsid w:val="001C07C5"/>
    <w:rsid w:val="001C0BBF"/>
    <w:rsid w:val="001C0E23"/>
    <w:rsid w:val="001C2268"/>
    <w:rsid w:val="001C2A8B"/>
    <w:rsid w:val="001C2D1D"/>
    <w:rsid w:val="001C304C"/>
    <w:rsid w:val="001C322E"/>
    <w:rsid w:val="001C33D8"/>
    <w:rsid w:val="001C3BEA"/>
    <w:rsid w:val="001C490B"/>
    <w:rsid w:val="001C4C0D"/>
    <w:rsid w:val="001C5B54"/>
    <w:rsid w:val="001C626E"/>
    <w:rsid w:val="001C6A3D"/>
    <w:rsid w:val="001C7528"/>
    <w:rsid w:val="001D0BFF"/>
    <w:rsid w:val="001D1264"/>
    <w:rsid w:val="001D145B"/>
    <w:rsid w:val="001D14BD"/>
    <w:rsid w:val="001D15F5"/>
    <w:rsid w:val="001D1949"/>
    <w:rsid w:val="001D1D63"/>
    <w:rsid w:val="001D1FD3"/>
    <w:rsid w:val="001D2601"/>
    <w:rsid w:val="001D3219"/>
    <w:rsid w:val="001D3384"/>
    <w:rsid w:val="001D3F91"/>
    <w:rsid w:val="001D420B"/>
    <w:rsid w:val="001D425C"/>
    <w:rsid w:val="001D47E9"/>
    <w:rsid w:val="001D4C85"/>
    <w:rsid w:val="001D5151"/>
    <w:rsid w:val="001D52A4"/>
    <w:rsid w:val="001D5CCB"/>
    <w:rsid w:val="001D6762"/>
    <w:rsid w:val="001D6C78"/>
    <w:rsid w:val="001D6EB0"/>
    <w:rsid w:val="001D72A4"/>
    <w:rsid w:val="001D74D2"/>
    <w:rsid w:val="001E0AA4"/>
    <w:rsid w:val="001E169C"/>
    <w:rsid w:val="001E1A9E"/>
    <w:rsid w:val="001E2309"/>
    <w:rsid w:val="001E2DC5"/>
    <w:rsid w:val="001E31FE"/>
    <w:rsid w:val="001E32D1"/>
    <w:rsid w:val="001E3712"/>
    <w:rsid w:val="001E3C25"/>
    <w:rsid w:val="001E4894"/>
    <w:rsid w:val="001E6401"/>
    <w:rsid w:val="001E64DB"/>
    <w:rsid w:val="001E658A"/>
    <w:rsid w:val="001E66B2"/>
    <w:rsid w:val="001E6EA9"/>
    <w:rsid w:val="001E6F73"/>
    <w:rsid w:val="001E71B8"/>
    <w:rsid w:val="001E74B4"/>
    <w:rsid w:val="001E7D5E"/>
    <w:rsid w:val="001E7E46"/>
    <w:rsid w:val="001F00D4"/>
    <w:rsid w:val="001F094A"/>
    <w:rsid w:val="001F0AAC"/>
    <w:rsid w:val="001F0B14"/>
    <w:rsid w:val="001F1032"/>
    <w:rsid w:val="001F14B5"/>
    <w:rsid w:val="001F181C"/>
    <w:rsid w:val="001F18C2"/>
    <w:rsid w:val="001F1CCA"/>
    <w:rsid w:val="001F24D5"/>
    <w:rsid w:val="001F2D73"/>
    <w:rsid w:val="001F459E"/>
    <w:rsid w:val="001F4DA7"/>
    <w:rsid w:val="001F4F1E"/>
    <w:rsid w:val="001F5DE3"/>
    <w:rsid w:val="001F6EEB"/>
    <w:rsid w:val="001F70C1"/>
    <w:rsid w:val="00200AF3"/>
    <w:rsid w:val="00200B9C"/>
    <w:rsid w:val="00200FB0"/>
    <w:rsid w:val="00201858"/>
    <w:rsid w:val="00201D7D"/>
    <w:rsid w:val="0020276B"/>
    <w:rsid w:val="00202E8B"/>
    <w:rsid w:val="0020309B"/>
    <w:rsid w:val="002036F3"/>
    <w:rsid w:val="00203E32"/>
    <w:rsid w:val="002040BF"/>
    <w:rsid w:val="00204F3F"/>
    <w:rsid w:val="00205829"/>
    <w:rsid w:val="00205876"/>
    <w:rsid w:val="00205D75"/>
    <w:rsid w:val="002065BF"/>
    <w:rsid w:val="002065C8"/>
    <w:rsid w:val="00206B32"/>
    <w:rsid w:val="00206D13"/>
    <w:rsid w:val="002105E3"/>
    <w:rsid w:val="00210A5D"/>
    <w:rsid w:val="002110C8"/>
    <w:rsid w:val="00211594"/>
    <w:rsid w:val="00211929"/>
    <w:rsid w:val="00212047"/>
    <w:rsid w:val="0021219D"/>
    <w:rsid w:val="00212975"/>
    <w:rsid w:val="00212A4A"/>
    <w:rsid w:val="00212B0C"/>
    <w:rsid w:val="002137D5"/>
    <w:rsid w:val="00213E4E"/>
    <w:rsid w:val="00215143"/>
    <w:rsid w:val="0021670E"/>
    <w:rsid w:val="00216F96"/>
    <w:rsid w:val="002176EF"/>
    <w:rsid w:val="00217998"/>
    <w:rsid w:val="00217FC9"/>
    <w:rsid w:val="0022052F"/>
    <w:rsid w:val="00221410"/>
    <w:rsid w:val="002215D8"/>
    <w:rsid w:val="002215E3"/>
    <w:rsid w:val="002216CA"/>
    <w:rsid w:val="0022269E"/>
    <w:rsid w:val="0022297A"/>
    <w:rsid w:val="00222F6C"/>
    <w:rsid w:val="0022335D"/>
    <w:rsid w:val="00223F66"/>
    <w:rsid w:val="00224938"/>
    <w:rsid w:val="0022495F"/>
    <w:rsid w:val="00226C66"/>
    <w:rsid w:val="00227899"/>
    <w:rsid w:val="00227BA2"/>
    <w:rsid w:val="00227D9B"/>
    <w:rsid w:val="00230B8E"/>
    <w:rsid w:val="00231589"/>
    <w:rsid w:val="00231706"/>
    <w:rsid w:val="00231EB4"/>
    <w:rsid w:val="00231EB8"/>
    <w:rsid w:val="002336F4"/>
    <w:rsid w:val="00233D17"/>
    <w:rsid w:val="00234036"/>
    <w:rsid w:val="0023453E"/>
    <w:rsid w:val="00235196"/>
    <w:rsid w:val="00235265"/>
    <w:rsid w:val="002353E9"/>
    <w:rsid w:val="00236057"/>
    <w:rsid w:val="00236B46"/>
    <w:rsid w:val="002370EE"/>
    <w:rsid w:val="002377CA"/>
    <w:rsid w:val="002378D3"/>
    <w:rsid w:val="00241380"/>
    <w:rsid w:val="0024286F"/>
    <w:rsid w:val="00243892"/>
    <w:rsid w:val="002438D5"/>
    <w:rsid w:val="00243D10"/>
    <w:rsid w:val="00243FBA"/>
    <w:rsid w:val="00244D8C"/>
    <w:rsid w:val="00244F26"/>
    <w:rsid w:val="0024587F"/>
    <w:rsid w:val="00245F3A"/>
    <w:rsid w:val="002464B6"/>
    <w:rsid w:val="00246923"/>
    <w:rsid w:val="00246A5D"/>
    <w:rsid w:val="00246E74"/>
    <w:rsid w:val="00247440"/>
    <w:rsid w:val="00247945"/>
    <w:rsid w:val="00250170"/>
    <w:rsid w:val="00250D21"/>
    <w:rsid w:val="002514CE"/>
    <w:rsid w:val="00251E2D"/>
    <w:rsid w:val="00252718"/>
    <w:rsid w:val="0025303C"/>
    <w:rsid w:val="00253066"/>
    <w:rsid w:val="002530FD"/>
    <w:rsid w:val="002531B7"/>
    <w:rsid w:val="00253994"/>
    <w:rsid w:val="002548B7"/>
    <w:rsid w:val="00254AF4"/>
    <w:rsid w:val="00254FE7"/>
    <w:rsid w:val="0025657C"/>
    <w:rsid w:val="002565EB"/>
    <w:rsid w:val="00257230"/>
    <w:rsid w:val="00257574"/>
    <w:rsid w:val="00257ACF"/>
    <w:rsid w:val="00260D4F"/>
    <w:rsid w:val="00262D6B"/>
    <w:rsid w:val="00263072"/>
    <w:rsid w:val="00264376"/>
    <w:rsid w:val="002643C4"/>
    <w:rsid w:val="00264B8F"/>
    <w:rsid w:val="00265587"/>
    <w:rsid w:val="00265E09"/>
    <w:rsid w:val="00265F08"/>
    <w:rsid w:val="00265FC1"/>
    <w:rsid w:val="00266397"/>
    <w:rsid w:val="00266921"/>
    <w:rsid w:val="00266A13"/>
    <w:rsid w:val="002671E4"/>
    <w:rsid w:val="00267E17"/>
    <w:rsid w:val="0027021A"/>
    <w:rsid w:val="002712DC"/>
    <w:rsid w:val="00271632"/>
    <w:rsid w:val="00271724"/>
    <w:rsid w:val="00272DB5"/>
    <w:rsid w:val="002733E8"/>
    <w:rsid w:val="00273870"/>
    <w:rsid w:val="00273FC3"/>
    <w:rsid w:val="002748F8"/>
    <w:rsid w:val="00274DC8"/>
    <w:rsid w:val="00274E91"/>
    <w:rsid w:val="002754AE"/>
    <w:rsid w:val="00275840"/>
    <w:rsid w:val="002758C6"/>
    <w:rsid w:val="002762AB"/>
    <w:rsid w:val="0027660D"/>
    <w:rsid w:val="00276C6E"/>
    <w:rsid w:val="00276EC4"/>
    <w:rsid w:val="00277261"/>
    <w:rsid w:val="00277420"/>
    <w:rsid w:val="002775AD"/>
    <w:rsid w:val="00277C15"/>
    <w:rsid w:val="00277DF9"/>
    <w:rsid w:val="0028041C"/>
    <w:rsid w:val="00281B50"/>
    <w:rsid w:val="0028241D"/>
    <w:rsid w:val="0028310C"/>
    <w:rsid w:val="0028384E"/>
    <w:rsid w:val="00284268"/>
    <w:rsid w:val="0028429D"/>
    <w:rsid w:val="0028543C"/>
    <w:rsid w:val="00285998"/>
    <w:rsid w:val="00285EAE"/>
    <w:rsid w:val="00285F07"/>
    <w:rsid w:val="00286635"/>
    <w:rsid w:val="002870DC"/>
    <w:rsid w:val="00290833"/>
    <w:rsid w:val="00290DC9"/>
    <w:rsid w:val="00290FF6"/>
    <w:rsid w:val="002912F8"/>
    <w:rsid w:val="00291337"/>
    <w:rsid w:val="00291376"/>
    <w:rsid w:val="0029144D"/>
    <w:rsid w:val="002914A7"/>
    <w:rsid w:val="00291913"/>
    <w:rsid w:val="00291A36"/>
    <w:rsid w:val="00292247"/>
    <w:rsid w:val="00292346"/>
    <w:rsid w:val="00292A19"/>
    <w:rsid w:val="00292B72"/>
    <w:rsid w:val="00293142"/>
    <w:rsid w:val="00293590"/>
    <w:rsid w:val="002935F8"/>
    <w:rsid w:val="00293C53"/>
    <w:rsid w:val="0029406D"/>
    <w:rsid w:val="002942F3"/>
    <w:rsid w:val="00294325"/>
    <w:rsid w:val="0029436C"/>
    <w:rsid w:val="0029500A"/>
    <w:rsid w:val="00295D5B"/>
    <w:rsid w:val="00295F9C"/>
    <w:rsid w:val="00296056"/>
    <w:rsid w:val="00297036"/>
    <w:rsid w:val="00297207"/>
    <w:rsid w:val="00297577"/>
    <w:rsid w:val="002A06BE"/>
    <w:rsid w:val="002A0A81"/>
    <w:rsid w:val="002A1CE0"/>
    <w:rsid w:val="002A246A"/>
    <w:rsid w:val="002A25D8"/>
    <w:rsid w:val="002A45B0"/>
    <w:rsid w:val="002A4AD2"/>
    <w:rsid w:val="002A4D0B"/>
    <w:rsid w:val="002A63E1"/>
    <w:rsid w:val="002A734E"/>
    <w:rsid w:val="002A7C28"/>
    <w:rsid w:val="002A7DED"/>
    <w:rsid w:val="002B0553"/>
    <w:rsid w:val="002B0820"/>
    <w:rsid w:val="002B0E29"/>
    <w:rsid w:val="002B154C"/>
    <w:rsid w:val="002B21A8"/>
    <w:rsid w:val="002B226C"/>
    <w:rsid w:val="002B2552"/>
    <w:rsid w:val="002B2A7A"/>
    <w:rsid w:val="002B2AFB"/>
    <w:rsid w:val="002B2BA1"/>
    <w:rsid w:val="002B2F15"/>
    <w:rsid w:val="002B35B9"/>
    <w:rsid w:val="002B4448"/>
    <w:rsid w:val="002B4998"/>
    <w:rsid w:val="002B5277"/>
    <w:rsid w:val="002B5672"/>
    <w:rsid w:val="002B5876"/>
    <w:rsid w:val="002B5BD6"/>
    <w:rsid w:val="002B5D7B"/>
    <w:rsid w:val="002B611C"/>
    <w:rsid w:val="002B6651"/>
    <w:rsid w:val="002B686F"/>
    <w:rsid w:val="002B694B"/>
    <w:rsid w:val="002B6EC0"/>
    <w:rsid w:val="002B7284"/>
    <w:rsid w:val="002C0098"/>
    <w:rsid w:val="002C0591"/>
    <w:rsid w:val="002C06CD"/>
    <w:rsid w:val="002C0EAE"/>
    <w:rsid w:val="002C1743"/>
    <w:rsid w:val="002C1F86"/>
    <w:rsid w:val="002C2085"/>
    <w:rsid w:val="002C2502"/>
    <w:rsid w:val="002C2863"/>
    <w:rsid w:val="002C2967"/>
    <w:rsid w:val="002C33F0"/>
    <w:rsid w:val="002C3A67"/>
    <w:rsid w:val="002C5B25"/>
    <w:rsid w:val="002C6690"/>
    <w:rsid w:val="002C6A73"/>
    <w:rsid w:val="002C6DE9"/>
    <w:rsid w:val="002C70EF"/>
    <w:rsid w:val="002C742E"/>
    <w:rsid w:val="002C74BB"/>
    <w:rsid w:val="002C76BE"/>
    <w:rsid w:val="002D2651"/>
    <w:rsid w:val="002D28F3"/>
    <w:rsid w:val="002D36B4"/>
    <w:rsid w:val="002D3A20"/>
    <w:rsid w:val="002D46F9"/>
    <w:rsid w:val="002D4A28"/>
    <w:rsid w:val="002D4A65"/>
    <w:rsid w:val="002D4F74"/>
    <w:rsid w:val="002D5664"/>
    <w:rsid w:val="002D5DA3"/>
    <w:rsid w:val="002D5EA7"/>
    <w:rsid w:val="002D61BA"/>
    <w:rsid w:val="002D622C"/>
    <w:rsid w:val="002D649F"/>
    <w:rsid w:val="002D64FD"/>
    <w:rsid w:val="002D68D4"/>
    <w:rsid w:val="002D694D"/>
    <w:rsid w:val="002D69F7"/>
    <w:rsid w:val="002D6B00"/>
    <w:rsid w:val="002D6BB2"/>
    <w:rsid w:val="002D6C42"/>
    <w:rsid w:val="002D7973"/>
    <w:rsid w:val="002D79B0"/>
    <w:rsid w:val="002D7B62"/>
    <w:rsid w:val="002E0CFB"/>
    <w:rsid w:val="002E0F79"/>
    <w:rsid w:val="002E1249"/>
    <w:rsid w:val="002E142F"/>
    <w:rsid w:val="002E183D"/>
    <w:rsid w:val="002E1B52"/>
    <w:rsid w:val="002E20E9"/>
    <w:rsid w:val="002E2204"/>
    <w:rsid w:val="002E2691"/>
    <w:rsid w:val="002E26C7"/>
    <w:rsid w:val="002E2740"/>
    <w:rsid w:val="002E29F9"/>
    <w:rsid w:val="002E2CA0"/>
    <w:rsid w:val="002E2E92"/>
    <w:rsid w:val="002E4092"/>
    <w:rsid w:val="002E5363"/>
    <w:rsid w:val="002E5564"/>
    <w:rsid w:val="002E5E11"/>
    <w:rsid w:val="002E5FDD"/>
    <w:rsid w:val="002E64FA"/>
    <w:rsid w:val="002E7065"/>
    <w:rsid w:val="002E79B0"/>
    <w:rsid w:val="002F05A6"/>
    <w:rsid w:val="002F0820"/>
    <w:rsid w:val="002F0B27"/>
    <w:rsid w:val="002F1492"/>
    <w:rsid w:val="002F19E1"/>
    <w:rsid w:val="002F23C3"/>
    <w:rsid w:val="002F2CFA"/>
    <w:rsid w:val="002F2E99"/>
    <w:rsid w:val="002F33F5"/>
    <w:rsid w:val="002F34EA"/>
    <w:rsid w:val="002F428C"/>
    <w:rsid w:val="002F4ADF"/>
    <w:rsid w:val="002F55DA"/>
    <w:rsid w:val="002F5CD1"/>
    <w:rsid w:val="002F65C9"/>
    <w:rsid w:val="002F718B"/>
    <w:rsid w:val="002F76C3"/>
    <w:rsid w:val="00300F11"/>
    <w:rsid w:val="00301033"/>
    <w:rsid w:val="00301614"/>
    <w:rsid w:val="00301AE4"/>
    <w:rsid w:val="003023DF"/>
    <w:rsid w:val="00302679"/>
    <w:rsid w:val="0030296D"/>
    <w:rsid w:val="00302EAD"/>
    <w:rsid w:val="00302F6A"/>
    <w:rsid w:val="00303DD7"/>
    <w:rsid w:val="0030432D"/>
    <w:rsid w:val="003046DA"/>
    <w:rsid w:val="0030479A"/>
    <w:rsid w:val="00306618"/>
    <w:rsid w:val="003072D6"/>
    <w:rsid w:val="00307386"/>
    <w:rsid w:val="0031028B"/>
    <w:rsid w:val="00310301"/>
    <w:rsid w:val="00310B7E"/>
    <w:rsid w:val="00310F1B"/>
    <w:rsid w:val="0031133E"/>
    <w:rsid w:val="003126B2"/>
    <w:rsid w:val="00312751"/>
    <w:rsid w:val="00313627"/>
    <w:rsid w:val="0031551B"/>
    <w:rsid w:val="00315E8F"/>
    <w:rsid w:val="00316401"/>
    <w:rsid w:val="003164C7"/>
    <w:rsid w:val="00316CC4"/>
    <w:rsid w:val="00317397"/>
    <w:rsid w:val="0031748B"/>
    <w:rsid w:val="003202C0"/>
    <w:rsid w:val="00320BB1"/>
    <w:rsid w:val="0032136B"/>
    <w:rsid w:val="003218D7"/>
    <w:rsid w:val="00322303"/>
    <w:rsid w:val="00322B4E"/>
    <w:rsid w:val="00322DB2"/>
    <w:rsid w:val="00322E08"/>
    <w:rsid w:val="00323287"/>
    <w:rsid w:val="00323FA9"/>
    <w:rsid w:val="00324186"/>
    <w:rsid w:val="003243B8"/>
    <w:rsid w:val="00325B10"/>
    <w:rsid w:val="00325CA6"/>
    <w:rsid w:val="00325EA5"/>
    <w:rsid w:val="003266B5"/>
    <w:rsid w:val="00326F28"/>
    <w:rsid w:val="00326FC3"/>
    <w:rsid w:val="0032741F"/>
    <w:rsid w:val="00327848"/>
    <w:rsid w:val="00327C98"/>
    <w:rsid w:val="00327CA9"/>
    <w:rsid w:val="00327CD4"/>
    <w:rsid w:val="00327E14"/>
    <w:rsid w:val="003309C0"/>
    <w:rsid w:val="003315AB"/>
    <w:rsid w:val="00331A9F"/>
    <w:rsid w:val="0033308B"/>
    <w:rsid w:val="003330BD"/>
    <w:rsid w:val="00333114"/>
    <w:rsid w:val="0033354A"/>
    <w:rsid w:val="00333600"/>
    <w:rsid w:val="00333E5A"/>
    <w:rsid w:val="00334013"/>
    <w:rsid w:val="00334B6D"/>
    <w:rsid w:val="003357AF"/>
    <w:rsid w:val="003358AF"/>
    <w:rsid w:val="00335933"/>
    <w:rsid w:val="003359B0"/>
    <w:rsid w:val="00335A0E"/>
    <w:rsid w:val="0033622F"/>
    <w:rsid w:val="00336CDD"/>
    <w:rsid w:val="00336DD6"/>
    <w:rsid w:val="003370CC"/>
    <w:rsid w:val="003372A5"/>
    <w:rsid w:val="00340A1B"/>
    <w:rsid w:val="00340E4D"/>
    <w:rsid w:val="0034141F"/>
    <w:rsid w:val="0034150E"/>
    <w:rsid w:val="0034180F"/>
    <w:rsid w:val="00341A71"/>
    <w:rsid w:val="0034231A"/>
    <w:rsid w:val="003427A8"/>
    <w:rsid w:val="00343177"/>
    <w:rsid w:val="0034372C"/>
    <w:rsid w:val="003440C9"/>
    <w:rsid w:val="003441FB"/>
    <w:rsid w:val="0034445A"/>
    <w:rsid w:val="00345A0E"/>
    <w:rsid w:val="00345AF3"/>
    <w:rsid w:val="00345D0F"/>
    <w:rsid w:val="0034601B"/>
    <w:rsid w:val="00346A5F"/>
    <w:rsid w:val="003471EC"/>
    <w:rsid w:val="00347E20"/>
    <w:rsid w:val="00347FDC"/>
    <w:rsid w:val="00350022"/>
    <w:rsid w:val="0035036C"/>
    <w:rsid w:val="00352545"/>
    <w:rsid w:val="00352A18"/>
    <w:rsid w:val="00352AD3"/>
    <w:rsid w:val="00352F09"/>
    <w:rsid w:val="00353594"/>
    <w:rsid w:val="00353F55"/>
    <w:rsid w:val="00354AE7"/>
    <w:rsid w:val="00356206"/>
    <w:rsid w:val="00356A8D"/>
    <w:rsid w:val="00356BED"/>
    <w:rsid w:val="003577C6"/>
    <w:rsid w:val="00360CED"/>
    <w:rsid w:val="00360FB8"/>
    <w:rsid w:val="0036121C"/>
    <w:rsid w:val="00361D52"/>
    <w:rsid w:val="00361E0D"/>
    <w:rsid w:val="003623D4"/>
    <w:rsid w:val="00363137"/>
    <w:rsid w:val="0036354A"/>
    <w:rsid w:val="00363EE5"/>
    <w:rsid w:val="00363F93"/>
    <w:rsid w:val="00364209"/>
    <w:rsid w:val="00364B3C"/>
    <w:rsid w:val="00364CD6"/>
    <w:rsid w:val="0036508A"/>
    <w:rsid w:val="00365682"/>
    <w:rsid w:val="00365916"/>
    <w:rsid w:val="00366C00"/>
    <w:rsid w:val="00366FBB"/>
    <w:rsid w:val="00367536"/>
    <w:rsid w:val="0036790A"/>
    <w:rsid w:val="00367A53"/>
    <w:rsid w:val="00367D5E"/>
    <w:rsid w:val="00367EFE"/>
    <w:rsid w:val="00367FD3"/>
    <w:rsid w:val="0037032E"/>
    <w:rsid w:val="00370A25"/>
    <w:rsid w:val="003714BE"/>
    <w:rsid w:val="00371C16"/>
    <w:rsid w:val="00372057"/>
    <w:rsid w:val="00372E83"/>
    <w:rsid w:val="00373710"/>
    <w:rsid w:val="003738B9"/>
    <w:rsid w:val="00373E80"/>
    <w:rsid w:val="00373EDE"/>
    <w:rsid w:val="003741DD"/>
    <w:rsid w:val="003754D8"/>
    <w:rsid w:val="00375807"/>
    <w:rsid w:val="00375B8E"/>
    <w:rsid w:val="00375B9D"/>
    <w:rsid w:val="00375C95"/>
    <w:rsid w:val="00376562"/>
    <w:rsid w:val="0037703E"/>
    <w:rsid w:val="00377A61"/>
    <w:rsid w:val="00380015"/>
    <w:rsid w:val="0038027B"/>
    <w:rsid w:val="0038046C"/>
    <w:rsid w:val="00380FF8"/>
    <w:rsid w:val="00381478"/>
    <w:rsid w:val="00381B71"/>
    <w:rsid w:val="00382422"/>
    <w:rsid w:val="00382E87"/>
    <w:rsid w:val="00383785"/>
    <w:rsid w:val="003837A6"/>
    <w:rsid w:val="0038426E"/>
    <w:rsid w:val="00384428"/>
    <w:rsid w:val="00385562"/>
    <w:rsid w:val="003857BC"/>
    <w:rsid w:val="003858AB"/>
    <w:rsid w:val="003859B5"/>
    <w:rsid w:val="003867D8"/>
    <w:rsid w:val="0038691D"/>
    <w:rsid w:val="00387576"/>
    <w:rsid w:val="00387980"/>
    <w:rsid w:val="00387FD7"/>
    <w:rsid w:val="003901C2"/>
    <w:rsid w:val="0039061E"/>
    <w:rsid w:val="0039091E"/>
    <w:rsid w:val="00390B0B"/>
    <w:rsid w:val="00390E73"/>
    <w:rsid w:val="0039171A"/>
    <w:rsid w:val="00391B48"/>
    <w:rsid w:val="00392878"/>
    <w:rsid w:val="00392E2C"/>
    <w:rsid w:val="00393242"/>
    <w:rsid w:val="003940BD"/>
    <w:rsid w:val="003941E7"/>
    <w:rsid w:val="003943F5"/>
    <w:rsid w:val="003944CE"/>
    <w:rsid w:val="003946CA"/>
    <w:rsid w:val="00394B4C"/>
    <w:rsid w:val="00394FB0"/>
    <w:rsid w:val="00395079"/>
    <w:rsid w:val="00395152"/>
    <w:rsid w:val="003951B7"/>
    <w:rsid w:val="00395712"/>
    <w:rsid w:val="003960F9"/>
    <w:rsid w:val="0039651D"/>
    <w:rsid w:val="003966C3"/>
    <w:rsid w:val="003969C2"/>
    <w:rsid w:val="00396B44"/>
    <w:rsid w:val="00396C5C"/>
    <w:rsid w:val="0039759A"/>
    <w:rsid w:val="00397732"/>
    <w:rsid w:val="00397DDD"/>
    <w:rsid w:val="003A03D3"/>
    <w:rsid w:val="003A0768"/>
    <w:rsid w:val="003A12F1"/>
    <w:rsid w:val="003A2A1D"/>
    <w:rsid w:val="003A2C51"/>
    <w:rsid w:val="003A2C88"/>
    <w:rsid w:val="003A2E2B"/>
    <w:rsid w:val="003A2FB8"/>
    <w:rsid w:val="003A3B63"/>
    <w:rsid w:val="003A4029"/>
    <w:rsid w:val="003A41EB"/>
    <w:rsid w:val="003A487C"/>
    <w:rsid w:val="003A4D68"/>
    <w:rsid w:val="003A5251"/>
    <w:rsid w:val="003A5553"/>
    <w:rsid w:val="003A5F0E"/>
    <w:rsid w:val="003A62CE"/>
    <w:rsid w:val="003A6564"/>
    <w:rsid w:val="003A65F6"/>
    <w:rsid w:val="003A7D46"/>
    <w:rsid w:val="003B0146"/>
    <w:rsid w:val="003B0197"/>
    <w:rsid w:val="003B20D7"/>
    <w:rsid w:val="003B2E76"/>
    <w:rsid w:val="003B30FF"/>
    <w:rsid w:val="003B3862"/>
    <w:rsid w:val="003B3CED"/>
    <w:rsid w:val="003B41E2"/>
    <w:rsid w:val="003B4B1F"/>
    <w:rsid w:val="003B505C"/>
    <w:rsid w:val="003B630A"/>
    <w:rsid w:val="003B64D5"/>
    <w:rsid w:val="003B66FE"/>
    <w:rsid w:val="003B67CB"/>
    <w:rsid w:val="003B6894"/>
    <w:rsid w:val="003B7335"/>
    <w:rsid w:val="003B7B16"/>
    <w:rsid w:val="003B7C82"/>
    <w:rsid w:val="003C089D"/>
    <w:rsid w:val="003C0E92"/>
    <w:rsid w:val="003C10D3"/>
    <w:rsid w:val="003C20DB"/>
    <w:rsid w:val="003C2572"/>
    <w:rsid w:val="003C25E4"/>
    <w:rsid w:val="003C3159"/>
    <w:rsid w:val="003C336C"/>
    <w:rsid w:val="003C33FF"/>
    <w:rsid w:val="003C3964"/>
    <w:rsid w:val="003C4885"/>
    <w:rsid w:val="003C4E12"/>
    <w:rsid w:val="003C5055"/>
    <w:rsid w:val="003C5873"/>
    <w:rsid w:val="003C5B2E"/>
    <w:rsid w:val="003C5FDF"/>
    <w:rsid w:val="003C65D1"/>
    <w:rsid w:val="003C6A62"/>
    <w:rsid w:val="003C6E2F"/>
    <w:rsid w:val="003C7CA1"/>
    <w:rsid w:val="003D0090"/>
    <w:rsid w:val="003D03A2"/>
    <w:rsid w:val="003D06AE"/>
    <w:rsid w:val="003D0DEB"/>
    <w:rsid w:val="003D20AA"/>
    <w:rsid w:val="003D220E"/>
    <w:rsid w:val="003D2583"/>
    <w:rsid w:val="003D2640"/>
    <w:rsid w:val="003D2C9D"/>
    <w:rsid w:val="003D36C8"/>
    <w:rsid w:val="003D36F4"/>
    <w:rsid w:val="003D3FF6"/>
    <w:rsid w:val="003D408A"/>
    <w:rsid w:val="003D4A74"/>
    <w:rsid w:val="003D5886"/>
    <w:rsid w:val="003D58F8"/>
    <w:rsid w:val="003D5F7A"/>
    <w:rsid w:val="003D60F9"/>
    <w:rsid w:val="003D692A"/>
    <w:rsid w:val="003D6B29"/>
    <w:rsid w:val="003D6D77"/>
    <w:rsid w:val="003E05A0"/>
    <w:rsid w:val="003E0E00"/>
    <w:rsid w:val="003E104E"/>
    <w:rsid w:val="003E1CA1"/>
    <w:rsid w:val="003E1FB4"/>
    <w:rsid w:val="003E2989"/>
    <w:rsid w:val="003E34BE"/>
    <w:rsid w:val="003E3B0E"/>
    <w:rsid w:val="003E3BCE"/>
    <w:rsid w:val="003E472D"/>
    <w:rsid w:val="003E4A52"/>
    <w:rsid w:val="003E4D7F"/>
    <w:rsid w:val="003E55A0"/>
    <w:rsid w:val="003E5E6B"/>
    <w:rsid w:val="003E6E0B"/>
    <w:rsid w:val="003E78F9"/>
    <w:rsid w:val="003E7D08"/>
    <w:rsid w:val="003F00D7"/>
    <w:rsid w:val="003F0849"/>
    <w:rsid w:val="003F0D81"/>
    <w:rsid w:val="003F122D"/>
    <w:rsid w:val="003F1500"/>
    <w:rsid w:val="003F15F7"/>
    <w:rsid w:val="003F1FE9"/>
    <w:rsid w:val="003F26EC"/>
    <w:rsid w:val="003F2800"/>
    <w:rsid w:val="003F283C"/>
    <w:rsid w:val="003F31F1"/>
    <w:rsid w:val="003F4440"/>
    <w:rsid w:val="003F448D"/>
    <w:rsid w:val="003F4575"/>
    <w:rsid w:val="003F4C90"/>
    <w:rsid w:val="003F4F54"/>
    <w:rsid w:val="003F6E60"/>
    <w:rsid w:val="003F7281"/>
    <w:rsid w:val="003F7558"/>
    <w:rsid w:val="003F77F1"/>
    <w:rsid w:val="003F7FEB"/>
    <w:rsid w:val="00400A84"/>
    <w:rsid w:val="00400D1F"/>
    <w:rsid w:val="00400EDD"/>
    <w:rsid w:val="00401464"/>
    <w:rsid w:val="00401550"/>
    <w:rsid w:val="00401963"/>
    <w:rsid w:val="004019FC"/>
    <w:rsid w:val="00401C8A"/>
    <w:rsid w:val="00401CB0"/>
    <w:rsid w:val="00401D6B"/>
    <w:rsid w:val="00402B8A"/>
    <w:rsid w:val="00402F41"/>
    <w:rsid w:val="00402F7F"/>
    <w:rsid w:val="00403179"/>
    <w:rsid w:val="004031EC"/>
    <w:rsid w:val="0040322B"/>
    <w:rsid w:val="00403CF8"/>
    <w:rsid w:val="004041A5"/>
    <w:rsid w:val="0040426D"/>
    <w:rsid w:val="00405246"/>
    <w:rsid w:val="0040544D"/>
    <w:rsid w:val="0040597E"/>
    <w:rsid w:val="00405EE2"/>
    <w:rsid w:val="0040617C"/>
    <w:rsid w:val="00407DCA"/>
    <w:rsid w:val="00410309"/>
    <w:rsid w:val="004106A4"/>
    <w:rsid w:val="00411F5F"/>
    <w:rsid w:val="004120E0"/>
    <w:rsid w:val="004126E5"/>
    <w:rsid w:val="00412DA4"/>
    <w:rsid w:val="00413F34"/>
    <w:rsid w:val="004140A0"/>
    <w:rsid w:val="004140CE"/>
    <w:rsid w:val="004157C8"/>
    <w:rsid w:val="00415F95"/>
    <w:rsid w:val="00415FEF"/>
    <w:rsid w:val="004164DC"/>
    <w:rsid w:val="004167C9"/>
    <w:rsid w:val="00416847"/>
    <w:rsid w:val="004174AF"/>
    <w:rsid w:val="00417A81"/>
    <w:rsid w:val="00417CDF"/>
    <w:rsid w:val="00417DB2"/>
    <w:rsid w:val="00417E72"/>
    <w:rsid w:val="00420716"/>
    <w:rsid w:val="00420BC0"/>
    <w:rsid w:val="004217BD"/>
    <w:rsid w:val="00421962"/>
    <w:rsid w:val="004227D5"/>
    <w:rsid w:val="00423797"/>
    <w:rsid w:val="00423951"/>
    <w:rsid w:val="00423E58"/>
    <w:rsid w:val="004247E7"/>
    <w:rsid w:val="00424B8B"/>
    <w:rsid w:val="0042530A"/>
    <w:rsid w:val="004267B9"/>
    <w:rsid w:val="00427925"/>
    <w:rsid w:val="00427F02"/>
    <w:rsid w:val="004301C4"/>
    <w:rsid w:val="004304BE"/>
    <w:rsid w:val="004315DA"/>
    <w:rsid w:val="00431D76"/>
    <w:rsid w:val="00431FB7"/>
    <w:rsid w:val="00432246"/>
    <w:rsid w:val="00432974"/>
    <w:rsid w:val="004336DA"/>
    <w:rsid w:val="0043397F"/>
    <w:rsid w:val="004339C6"/>
    <w:rsid w:val="004339CA"/>
    <w:rsid w:val="00434686"/>
    <w:rsid w:val="00434885"/>
    <w:rsid w:val="0043518D"/>
    <w:rsid w:val="00435B1E"/>
    <w:rsid w:val="00435CEC"/>
    <w:rsid w:val="004360D2"/>
    <w:rsid w:val="00436342"/>
    <w:rsid w:val="00436A64"/>
    <w:rsid w:val="00436F35"/>
    <w:rsid w:val="0043783A"/>
    <w:rsid w:val="00437B34"/>
    <w:rsid w:val="00437E9B"/>
    <w:rsid w:val="00440199"/>
    <w:rsid w:val="0044079F"/>
    <w:rsid w:val="00440813"/>
    <w:rsid w:val="00440D9F"/>
    <w:rsid w:val="00440E58"/>
    <w:rsid w:val="00441583"/>
    <w:rsid w:val="004416D4"/>
    <w:rsid w:val="00442659"/>
    <w:rsid w:val="00442E71"/>
    <w:rsid w:val="00442FB4"/>
    <w:rsid w:val="00443125"/>
    <w:rsid w:val="00443483"/>
    <w:rsid w:val="004437B7"/>
    <w:rsid w:val="00444D33"/>
    <w:rsid w:val="00445141"/>
    <w:rsid w:val="00445707"/>
    <w:rsid w:val="00445AFF"/>
    <w:rsid w:val="00445F17"/>
    <w:rsid w:val="00445F63"/>
    <w:rsid w:val="00446768"/>
    <w:rsid w:val="0045067B"/>
    <w:rsid w:val="00450F49"/>
    <w:rsid w:val="0045132D"/>
    <w:rsid w:val="00451B6F"/>
    <w:rsid w:val="00451E64"/>
    <w:rsid w:val="00451FC5"/>
    <w:rsid w:val="0045220F"/>
    <w:rsid w:val="00452568"/>
    <w:rsid w:val="00453631"/>
    <w:rsid w:val="00453BB1"/>
    <w:rsid w:val="00453CD2"/>
    <w:rsid w:val="00454129"/>
    <w:rsid w:val="004549C2"/>
    <w:rsid w:val="00454AC2"/>
    <w:rsid w:val="004555C3"/>
    <w:rsid w:val="00456B66"/>
    <w:rsid w:val="00456B71"/>
    <w:rsid w:val="00457825"/>
    <w:rsid w:val="004578B3"/>
    <w:rsid w:val="00457ED0"/>
    <w:rsid w:val="00460177"/>
    <w:rsid w:val="00460633"/>
    <w:rsid w:val="00460836"/>
    <w:rsid w:val="004610F7"/>
    <w:rsid w:val="00461212"/>
    <w:rsid w:val="00461DC5"/>
    <w:rsid w:val="00461DF4"/>
    <w:rsid w:val="00461E52"/>
    <w:rsid w:val="00461E73"/>
    <w:rsid w:val="0046394F"/>
    <w:rsid w:val="00463AE5"/>
    <w:rsid w:val="004647A3"/>
    <w:rsid w:val="00464FDB"/>
    <w:rsid w:val="00464FFD"/>
    <w:rsid w:val="004657DB"/>
    <w:rsid w:val="00465950"/>
    <w:rsid w:val="00466A67"/>
    <w:rsid w:val="00466DE1"/>
    <w:rsid w:val="004677FC"/>
    <w:rsid w:val="004678C3"/>
    <w:rsid w:val="00467A66"/>
    <w:rsid w:val="00467EF0"/>
    <w:rsid w:val="004700A8"/>
    <w:rsid w:val="004705AB"/>
    <w:rsid w:val="00470EE6"/>
    <w:rsid w:val="0047124D"/>
    <w:rsid w:val="004712DA"/>
    <w:rsid w:val="004716B7"/>
    <w:rsid w:val="004718F6"/>
    <w:rsid w:val="00471AAC"/>
    <w:rsid w:val="00471DE2"/>
    <w:rsid w:val="0047211A"/>
    <w:rsid w:val="00472123"/>
    <w:rsid w:val="00472AE7"/>
    <w:rsid w:val="00473ABE"/>
    <w:rsid w:val="00474927"/>
    <w:rsid w:val="00474B46"/>
    <w:rsid w:val="00474B70"/>
    <w:rsid w:val="00474BE9"/>
    <w:rsid w:val="0047526D"/>
    <w:rsid w:val="004763FE"/>
    <w:rsid w:val="00476E0E"/>
    <w:rsid w:val="0047775E"/>
    <w:rsid w:val="0047781B"/>
    <w:rsid w:val="00480E2A"/>
    <w:rsid w:val="0048118F"/>
    <w:rsid w:val="0048195C"/>
    <w:rsid w:val="00483ED1"/>
    <w:rsid w:val="00484869"/>
    <w:rsid w:val="00485F51"/>
    <w:rsid w:val="00487858"/>
    <w:rsid w:val="00490731"/>
    <w:rsid w:val="00490BE4"/>
    <w:rsid w:val="00492B03"/>
    <w:rsid w:val="004930C3"/>
    <w:rsid w:val="004931A3"/>
    <w:rsid w:val="004936B3"/>
    <w:rsid w:val="00493D0E"/>
    <w:rsid w:val="0049450B"/>
    <w:rsid w:val="00494749"/>
    <w:rsid w:val="00495119"/>
    <w:rsid w:val="00495452"/>
    <w:rsid w:val="00495DFC"/>
    <w:rsid w:val="004960A0"/>
    <w:rsid w:val="00496481"/>
    <w:rsid w:val="004967A0"/>
    <w:rsid w:val="004967C4"/>
    <w:rsid w:val="00496AC1"/>
    <w:rsid w:val="00496B16"/>
    <w:rsid w:val="00497777"/>
    <w:rsid w:val="00497B27"/>
    <w:rsid w:val="00497F1E"/>
    <w:rsid w:val="004A1542"/>
    <w:rsid w:val="004A28FC"/>
    <w:rsid w:val="004A2D9A"/>
    <w:rsid w:val="004A2F60"/>
    <w:rsid w:val="004A345E"/>
    <w:rsid w:val="004A3AD6"/>
    <w:rsid w:val="004A446B"/>
    <w:rsid w:val="004A495F"/>
    <w:rsid w:val="004A4ACB"/>
    <w:rsid w:val="004A4BBE"/>
    <w:rsid w:val="004A52F7"/>
    <w:rsid w:val="004A5F21"/>
    <w:rsid w:val="004A6180"/>
    <w:rsid w:val="004A61C1"/>
    <w:rsid w:val="004A71B9"/>
    <w:rsid w:val="004A72AF"/>
    <w:rsid w:val="004A77A7"/>
    <w:rsid w:val="004A7B7F"/>
    <w:rsid w:val="004A7F91"/>
    <w:rsid w:val="004B0160"/>
    <w:rsid w:val="004B022A"/>
    <w:rsid w:val="004B0517"/>
    <w:rsid w:val="004B06F3"/>
    <w:rsid w:val="004B20C4"/>
    <w:rsid w:val="004B2527"/>
    <w:rsid w:val="004B3962"/>
    <w:rsid w:val="004B42BA"/>
    <w:rsid w:val="004B42E8"/>
    <w:rsid w:val="004B4499"/>
    <w:rsid w:val="004B45B4"/>
    <w:rsid w:val="004B4965"/>
    <w:rsid w:val="004B4F89"/>
    <w:rsid w:val="004B552F"/>
    <w:rsid w:val="004B5C63"/>
    <w:rsid w:val="004B60F9"/>
    <w:rsid w:val="004B6BD1"/>
    <w:rsid w:val="004B7515"/>
    <w:rsid w:val="004B76D5"/>
    <w:rsid w:val="004B7838"/>
    <w:rsid w:val="004B7AF8"/>
    <w:rsid w:val="004B7C68"/>
    <w:rsid w:val="004B7C6D"/>
    <w:rsid w:val="004B7D38"/>
    <w:rsid w:val="004C0217"/>
    <w:rsid w:val="004C03B0"/>
    <w:rsid w:val="004C1D27"/>
    <w:rsid w:val="004C25A4"/>
    <w:rsid w:val="004C28A3"/>
    <w:rsid w:val="004C2B17"/>
    <w:rsid w:val="004C2E74"/>
    <w:rsid w:val="004C355F"/>
    <w:rsid w:val="004C392F"/>
    <w:rsid w:val="004C3C33"/>
    <w:rsid w:val="004C43B0"/>
    <w:rsid w:val="004C44FF"/>
    <w:rsid w:val="004C45E0"/>
    <w:rsid w:val="004C4F8C"/>
    <w:rsid w:val="004C5967"/>
    <w:rsid w:val="004C5C07"/>
    <w:rsid w:val="004C5F5C"/>
    <w:rsid w:val="004C6093"/>
    <w:rsid w:val="004C6CB2"/>
    <w:rsid w:val="004C7BAE"/>
    <w:rsid w:val="004C7E62"/>
    <w:rsid w:val="004C7ED9"/>
    <w:rsid w:val="004D0E66"/>
    <w:rsid w:val="004D17B0"/>
    <w:rsid w:val="004D2082"/>
    <w:rsid w:val="004D22AC"/>
    <w:rsid w:val="004D2B08"/>
    <w:rsid w:val="004D2B81"/>
    <w:rsid w:val="004D347E"/>
    <w:rsid w:val="004D3761"/>
    <w:rsid w:val="004D37D1"/>
    <w:rsid w:val="004D3AA2"/>
    <w:rsid w:val="004D3CA6"/>
    <w:rsid w:val="004D3DD4"/>
    <w:rsid w:val="004D3DEC"/>
    <w:rsid w:val="004D44A6"/>
    <w:rsid w:val="004D45AD"/>
    <w:rsid w:val="004D484E"/>
    <w:rsid w:val="004D51F1"/>
    <w:rsid w:val="004D5905"/>
    <w:rsid w:val="004D5A46"/>
    <w:rsid w:val="004D5D06"/>
    <w:rsid w:val="004D61A9"/>
    <w:rsid w:val="004D61BD"/>
    <w:rsid w:val="004D6674"/>
    <w:rsid w:val="004D670D"/>
    <w:rsid w:val="004D6757"/>
    <w:rsid w:val="004D6DB9"/>
    <w:rsid w:val="004D75D7"/>
    <w:rsid w:val="004E0572"/>
    <w:rsid w:val="004E064C"/>
    <w:rsid w:val="004E09A0"/>
    <w:rsid w:val="004E1191"/>
    <w:rsid w:val="004E1629"/>
    <w:rsid w:val="004E1BFA"/>
    <w:rsid w:val="004E26D8"/>
    <w:rsid w:val="004E2B05"/>
    <w:rsid w:val="004E34EB"/>
    <w:rsid w:val="004E383E"/>
    <w:rsid w:val="004E3E5A"/>
    <w:rsid w:val="004E43BC"/>
    <w:rsid w:val="004E4BE0"/>
    <w:rsid w:val="004E4D20"/>
    <w:rsid w:val="004E57B5"/>
    <w:rsid w:val="004E5CD7"/>
    <w:rsid w:val="004E6090"/>
    <w:rsid w:val="004E6170"/>
    <w:rsid w:val="004E644E"/>
    <w:rsid w:val="004E6F78"/>
    <w:rsid w:val="004E7FAF"/>
    <w:rsid w:val="004F08D5"/>
    <w:rsid w:val="004F0BAB"/>
    <w:rsid w:val="004F0D96"/>
    <w:rsid w:val="004F1633"/>
    <w:rsid w:val="004F1936"/>
    <w:rsid w:val="004F2958"/>
    <w:rsid w:val="004F2BE1"/>
    <w:rsid w:val="004F4B68"/>
    <w:rsid w:val="004F4D2B"/>
    <w:rsid w:val="004F5587"/>
    <w:rsid w:val="004F570E"/>
    <w:rsid w:val="004F5800"/>
    <w:rsid w:val="004F5A9A"/>
    <w:rsid w:val="004F5FDE"/>
    <w:rsid w:val="004F73F7"/>
    <w:rsid w:val="004F7E80"/>
    <w:rsid w:val="0050091D"/>
    <w:rsid w:val="00500C9A"/>
    <w:rsid w:val="005013A9"/>
    <w:rsid w:val="005025B1"/>
    <w:rsid w:val="00504D18"/>
    <w:rsid w:val="00504FBC"/>
    <w:rsid w:val="005051EE"/>
    <w:rsid w:val="0050538D"/>
    <w:rsid w:val="0050543D"/>
    <w:rsid w:val="00505684"/>
    <w:rsid w:val="0050640F"/>
    <w:rsid w:val="005069CF"/>
    <w:rsid w:val="00506C83"/>
    <w:rsid w:val="0051068D"/>
    <w:rsid w:val="00510BA7"/>
    <w:rsid w:val="00511227"/>
    <w:rsid w:val="00511505"/>
    <w:rsid w:val="00512389"/>
    <w:rsid w:val="00512ABF"/>
    <w:rsid w:val="0051415C"/>
    <w:rsid w:val="0051415D"/>
    <w:rsid w:val="0051488E"/>
    <w:rsid w:val="00515430"/>
    <w:rsid w:val="00515691"/>
    <w:rsid w:val="00515B9D"/>
    <w:rsid w:val="00516542"/>
    <w:rsid w:val="00516592"/>
    <w:rsid w:val="00516832"/>
    <w:rsid w:val="005170B4"/>
    <w:rsid w:val="00517EC3"/>
    <w:rsid w:val="00517F88"/>
    <w:rsid w:val="0052010C"/>
    <w:rsid w:val="005210FF"/>
    <w:rsid w:val="005211CD"/>
    <w:rsid w:val="00521E7E"/>
    <w:rsid w:val="00523664"/>
    <w:rsid w:val="00523676"/>
    <w:rsid w:val="005236DB"/>
    <w:rsid w:val="00523970"/>
    <w:rsid w:val="00524D7F"/>
    <w:rsid w:val="00525B4F"/>
    <w:rsid w:val="005261C1"/>
    <w:rsid w:val="0052696F"/>
    <w:rsid w:val="00526989"/>
    <w:rsid w:val="0052702F"/>
    <w:rsid w:val="0052756C"/>
    <w:rsid w:val="00527FFB"/>
    <w:rsid w:val="00530738"/>
    <w:rsid w:val="005312B3"/>
    <w:rsid w:val="00531819"/>
    <w:rsid w:val="00531E29"/>
    <w:rsid w:val="00532354"/>
    <w:rsid w:val="0053245F"/>
    <w:rsid w:val="005324EF"/>
    <w:rsid w:val="00532846"/>
    <w:rsid w:val="00532F55"/>
    <w:rsid w:val="00532FBD"/>
    <w:rsid w:val="00535107"/>
    <w:rsid w:val="005356A1"/>
    <w:rsid w:val="00535E80"/>
    <w:rsid w:val="00536473"/>
    <w:rsid w:val="005368B7"/>
    <w:rsid w:val="00537192"/>
    <w:rsid w:val="00537413"/>
    <w:rsid w:val="005375B7"/>
    <w:rsid w:val="00537D04"/>
    <w:rsid w:val="0054192A"/>
    <w:rsid w:val="00541F8A"/>
    <w:rsid w:val="00542852"/>
    <w:rsid w:val="00542BA2"/>
    <w:rsid w:val="005432FB"/>
    <w:rsid w:val="00543326"/>
    <w:rsid w:val="00543606"/>
    <w:rsid w:val="00543681"/>
    <w:rsid w:val="0054457C"/>
    <w:rsid w:val="0054460F"/>
    <w:rsid w:val="00544936"/>
    <w:rsid w:val="00544E99"/>
    <w:rsid w:val="00544F5C"/>
    <w:rsid w:val="00545C8A"/>
    <w:rsid w:val="00545CEC"/>
    <w:rsid w:val="00545F72"/>
    <w:rsid w:val="00546EE1"/>
    <w:rsid w:val="00546F5A"/>
    <w:rsid w:val="00547417"/>
    <w:rsid w:val="00547752"/>
    <w:rsid w:val="005479A4"/>
    <w:rsid w:val="00547A1D"/>
    <w:rsid w:val="00547F54"/>
    <w:rsid w:val="00547F95"/>
    <w:rsid w:val="0055074B"/>
    <w:rsid w:val="00552136"/>
    <w:rsid w:val="00552700"/>
    <w:rsid w:val="00552B72"/>
    <w:rsid w:val="00552E3B"/>
    <w:rsid w:val="00553811"/>
    <w:rsid w:val="00553A23"/>
    <w:rsid w:val="005541AD"/>
    <w:rsid w:val="00554A9F"/>
    <w:rsid w:val="00555DB9"/>
    <w:rsid w:val="00556335"/>
    <w:rsid w:val="0055646D"/>
    <w:rsid w:val="00556BD1"/>
    <w:rsid w:val="00557384"/>
    <w:rsid w:val="00557CBC"/>
    <w:rsid w:val="00557E56"/>
    <w:rsid w:val="00560151"/>
    <w:rsid w:val="005609B7"/>
    <w:rsid w:val="00561A78"/>
    <w:rsid w:val="00561B4A"/>
    <w:rsid w:val="005621DD"/>
    <w:rsid w:val="00562452"/>
    <w:rsid w:val="0056298E"/>
    <w:rsid w:val="00562C73"/>
    <w:rsid w:val="005650D4"/>
    <w:rsid w:val="0056548C"/>
    <w:rsid w:val="0056662C"/>
    <w:rsid w:val="00566998"/>
    <w:rsid w:val="00566BFA"/>
    <w:rsid w:val="00566D47"/>
    <w:rsid w:val="005672CF"/>
    <w:rsid w:val="00567564"/>
    <w:rsid w:val="00570487"/>
    <w:rsid w:val="0057075A"/>
    <w:rsid w:val="00570828"/>
    <w:rsid w:val="00571659"/>
    <w:rsid w:val="00571BC1"/>
    <w:rsid w:val="00571CD2"/>
    <w:rsid w:val="0057250E"/>
    <w:rsid w:val="0057252D"/>
    <w:rsid w:val="00572613"/>
    <w:rsid w:val="00572B0C"/>
    <w:rsid w:val="00572CF5"/>
    <w:rsid w:val="0057398D"/>
    <w:rsid w:val="005739E4"/>
    <w:rsid w:val="00573B2A"/>
    <w:rsid w:val="00573ED6"/>
    <w:rsid w:val="005740EB"/>
    <w:rsid w:val="00574139"/>
    <w:rsid w:val="005747CE"/>
    <w:rsid w:val="00574FB9"/>
    <w:rsid w:val="00575995"/>
    <w:rsid w:val="00575B75"/>
    <w:rsid w:val="00575BA6"/>
    <w:rsid w:val="00575F5A"/>
    <w:rsid w:val="00575FA2"/>
    <w:rsid w:val="00576931"/>
    <w:rsid w:val="00576A75"/>
    <w:rsid w:val="00576B26"/>
    <w:rsid w:val="0057737E"/>
    <w:rsid w:val="0057753E"/>
    <w:rsid w:val="00580350"/>
    <w:rsid w:val="0058038E"/>
    <w:rsid w:val="00580697"/>
    <w:rsid w:val="0058138E"/>
    <w:rsid w:val="00581805"/>
    <w:rsid w:val="005836C5"/>
    <w:rsid w:val="00583728"/>
    <w:rsid w:val="00584FA6"/>
    <w:rsid w:val="00585032"/>
    <w:rsid w:val="00585660"/>
    <w:rsid w:val="00585BDE"/>
    <w:rsid w:val="00585CA5"/>
    <w:rsid w:val="00585EE4"/>
    <w:rsid w:val="0058623C"/>
    <w:rsid w:val="005863DA"/>
    <w:rsid w:val="0058691D"/>
    <w:rsid w:val="005870B8"/>
    <w:rsid w:val="00587152"/>
    <w:rsid w:val="00587FC0"/>
    <w:rsid w:val="0059043D"/>
    <w:rsid w:val="005906A4"/>
    <w:rsid w:val="00590B34"/>
    <w:rsid w:val="00590F9E"/>
    <w:rsid w:val="005911E2"/>
    <w:rsid w:val="005912DF"/>
    <w:rsid w:val="005912EA"/>
    <w:rsid w:val="00591778"/>
    <w:rsid w:val="00592043"/>
    <w:rsid w:val="005934B6"/>
    <w:rsid w:val="00593586"/>
    <w:rsid w:val="005935A4"/>
    <w:rsid w:val="005937AA"/>
    <w:rsid w:val="005954BF"/>
    <w:rsid w:val="00595E8E"/>
    <w:rsid w:val="00595FAA"/>
    <w:rsid w:val="00596D9E"/>
    <w:rsid w:val="00596FC2"/>
    <w:rsid w:val="00597813"/>
    <w:rsid w:val="00597836"/>
    <w:rsid w:val="00597A6F"/>
    <w:rsid w:val="005A010B"/>
    <w:rsid w:val="005A071B"/>
    <w:rsid w:val="005A0783"/>
    <w:rsid w:val="005A106E"/>
    <w:rsid w:val="005A11A1"/>
    <w:rsid w:val="005A1EF0"/>
    <w:rsid w:val="005A2009"/>
    <w:rsid w:val="005A2E39"/>
    <w:rsid w:val="005A325A"/>
    <w:rsid w:val="005A33DD"/>
    <w:rsid w:val="005A42AF"/>
    <w:rsid w:val="005A470B"/>
    <w:rsid w:val="005A4BDB"/>
    <w:rsid w:val="005A572E"/>
    <w:rsid w:val="005A6561"/>
    <w:rsid w:val="005A741A"/>
    <w:rsid w:val="005B0C37"/>
    <w:rsid w:val="005B111B"/>
    <w:rsid w:val="005B1221"/>
    <w:rsid w:val="005B13D2"/>
    <w:rsid w:val="005B1938"/>
    <w:rsid w:val="005B1EF9"/>
    <w:rsid w:val="005B2B83"/>
    <w:rsid w:val="005B310A"/>
    <w:rsid w:val="005B4426"/>
    <w:rsid w:val="005B4D4C"/>
    <w:rsid w:val="005B6867"/>
    <w:rsid w:val="005B690A"/>
    <w:rsid w:val="005C0507"/>
    <w:rsid w:val="005C117F"/>
    <w:rsid w:val="005C17D5"/>
    <w:rsid w:val="005C1D32"/>
    <w:rsid w:val="005C22FF"/>
    <w:rsid w:val="005C2FC8"/>
    <w:rsid w:val="005C2FDC"/>
    <w:rsid w:val="005C383E"/>
    <w:rsid w:val="005C4268"/>
    <w:rsid w:val="005C504D"/>
    <w:rsid w:val="005C5767"/>
    <w:rsid w:val="005C5789"/>
    <w:rsid w:val="005C69E2"/>
    <w:rsid w:val="005C7125"/>
    <w:rsid w:val="005C7291"/>
    <w:rsid w:val="005C7B5F"/>
    <w:rsid w:val="005C7C40"/>
    <w:rsid w:val="005D00C7"/>
    <w:rsid w:val="005D05A3"/>
    <w:rsid w:val="005D0662"/>
    <w:rsid w:val="005D0756"/>
    <w:rsid w:val="005D0AD8"/>
    <w:rsid w:val="005D0D58"/>
    <w:rsid w:val="005D1C95"/>
    <w:rsid w:val="005D2E7B"/>
    <w:rsid w:val="005D2FEB"/>
    <w:rsid w:val="005D32A8"/>
    <w:rsid w:val="005D33BC"/>
    <w:rsid w:val="005D35F3"/>
    <w:rsid w:val="005D44B1"/>
    <w:rsid w:val="005D479D"/>
    <w:rsid w:val="005D47F2"/>
    <w:rsid w:val="005D55BF"/>
    <w:rsid w:val="005D5E52"/>
    <w:rsid w:val="005D61E8"/>
    <w:rsid w:val="005D68B6"/>
    <w:rsid w:val="005D6E06"/>
    <w:rsid w:val="005D6E93"/>
    <w:rsid w:val="005D7151"/>
    <w:rsid w:val="005E1017"/>
    <w:rsid w:val="005E113F"/>
    <w:rsid w:val="005E17BD"/>
    <w:rsid w:val="005E1845"/>
    <w:rsid w:val="005E1966"/>
    <w:rsid w:val="005E277A"/>
    <w:rsid w:val="005E35EF"/>
    <w:rsid w:val="005E3A1D"/>
    <w:rsid w:val="005E3C06"/>
    <w:rsid w:val="005E41E1"/>
    <w:rsid w:val="005E4A68"/>
    <w:rsid w:val="005E4B15"/>
    <w:rsid w:val="005E50A9"/>
    <w:rsid w:val="005E5552"/>
    <w:rsid w:val="005E57F9"/>
    <w:rsid w:val="005E5923"/>
    <w:rsid w:val="005E5DB4"/>
    <w:rsid w:val="005E5DE2"/>
    <w:rsid w:val="005E6509"/>
    <w:rsid w:val="005E6EF7"/>
    <w:rsid w:val="005E706C"/>
    <w:rsid w:val="005E7A69"/>
    <w:rsid w:val="005E7B82"/>
    <w:rsid w:val="005F0644"/>
    <w:rsid w:val="005F1422"/>
    <w:rsid w:val="005F18B6"/>
    <w:rsid w:val="005F1EAC"/>
    <w:rsid w:val="005F27A5"/>
    <w:rsid w:val="005F32AF"/>
    <w:rsid w:val="005F366C"/>
    <w:rsid w:val="005F44A5"/>
    <w:rsid w:val="005F45AD"/>
    <w:rsid w:val="005F4842"/>
    <w:rsid w:val="005F48DC"/>
    <w:rsid w:val="005F4FF0"/>
    <w:rsid w:val="005F5001"/>
    <w:rsid w:val="005F520B"/>
    <w:rsid w:val="005F5965"/>
    <w:rsid w:val="005F5C92"/>
    <w:rsid w:val="005F6E7F"/>
    <w:rsid w:val="005F7000"/>
    <w:rsid w:val="005F72D8"/>
    <w:rsid w:val="005F7D4E"/>
    <w:rsid w:val="00600546"/>
    <w:rsid w:val="006008EE"/>
    <w:rsid w:val="00600C85"/>
    <w:rsid w:val="0060132B"/>
    <w:rsid w:val="006016D5"/>
    <w:rsid w:val="006020D6"/>
    <w:rsid w:val="006028B9"/>
    <w:rsid w:val="00602B3D"/>
    <w:rsid w:val="00604010"/>
    <w:rsid w:val="006046C2"/>
    <w:rsid w:val="00604834"/>
    <w:rsid w:val="00604C8D"/>
    <w:rsid w:val="0060514B"/>
    <w:rsid w:val="0060547E"/>
    <w:rsid w:val="006060CC"/>
    <w:rsid w:val="006069ED"/>
    <w:rsid w:val="00606A9B"/>
    <w:rsid w:val="00606ACC"/>
    <w:rsid w:val="00607409"/>
    <w:rsid w:val="00607667"/>
    <w:rsid w:val="006078E8"/>
    <w:rsid w:val="00607B0A"/>
    <w:rsid w:val="00607D14"/>
    <w:rsid w:val="006101EE"/>
    <w:rsid w:val="00610352"/>
    <w:rsid w:val="006125F1"/>
    <w:rsid w:val="00613361"/>
    <w:rsid w:val="00613457"/>
    <w:rsid w:val="00613FAF"/>
    <w:rsid w:val="0061403F"/>
    <w:rsid w:val="006145B7"/>
    <w:rsid w:val="00615090"/>
    <w:rsid w:val="00615A66"/>
    <w:rsid w:val="00615E2F"/>
    <w:rsid w:val="0061663F"/>
    <w:rsid w:val="00616904"/>
    <w:rsid w:val="00616DD0"/>
    <w:rsid w:val="00616DFB"/>
    <w:rsid w:val="006170F3"/>
    <w:rsid w:val="00617D3E"/>
    <w:rsid w:val="00617F57"/>
    <w:rsid w:val="0062024B"/>
    <w:rsid w:val="006202BD"/>
    <w:rsid w:val="006202F3"/>
    <w:rsid w:val="0062045A"/>
    <w:rsid w:val="00621F73"/>
    <w:rsid w:val="00622AAC"/>
    <w:rsid w:val="006232CB"/>
    <w:rsid w:val="00624EB4"/>
    <w:rsid w:val="0062548B"/>
    <w:rsid w:val="00625926"/>
    <w:rsid w:val="006267EC"/>
    <w:rsid w:val="00626F8C"/>
    <w:rsid w:val="0062779A"/>
    <w:rsid w:val="00627FB3"/>
    <w:rsid w:val="006306B2"/>
    <w:rsid w:val="0063199C"/>
    <w:rsid w:val="00631CAF"/>
    <w:rsid w:val="00631E66"/>
    <w:rsid w:val="00631EE0"/>
    <w:rsid w:val="006329B5"/>
    <w:rsid w:val="00632E24"/>
    <w:rsid w:val="00632FF6"/>
    <w:rsid w:val="0063305B"/>
    <w:rsid w:val="00633197"/>
    <w:rsid w:val="00633256"/>
    <w:rsid w:val="0063385B"/>
    <w:rsid w:val="006343B0"/>
    <w:rsid w:val="00634EF7"/>
    <w:rsid w:val="00635DC2"/>
    <w:rsid w:val="006364BA"/>
    <w:rsid w:val="00636BE9"/>
    <w:rsid w:val="006376E6"/>
    <w:rsid w:val="00637A85"/>
    <w:rsid w:val="00637CFA"/>
    <w:rsid w:val="006404AB"/>
    <w:rsid w:val="00640870"/>
    <w:rsid w:val="006408AD"/>
    <w:rsid w:val="006409ED"/>
    <w:rsid w:val="00640A5B"/>
    <w:rsid w:val="00640CE2"/>
    <w:rsid w:val="00641066"/>
    <w:rsid w:val="006416F6"/>
    <w:rsid w:val="006417A5"/>
    <w:rsid w:val="00641FFD"/>
    <w:rsid w:val="00642041"/>
    <w:rsid w:val="006425E8"/>
    <w:rsid w:val="00642BF4"/>
    <w:rsid w:val="0064305D"/>
    <w:rsid w:val="00643D18"/>
    <w:rsid w:val="00645075"/>
    <w:rsid w:val="006450E2"/>
    <w:rsid w:val="006451E3"/>
    <w:rsid w:val="00646727"/>
    <w:rsid w:val="00647420"/>
    <w:rsid w:val="0064784D"/>
    <w:rsid w:val="00650883"/>
    <w:rsid w:val="00650E3E"/>
    <w:rsid w:val="00651147"/>
    <w:rsid w:val="00651FBB"/>
    <w:rsid w:val="00652022"/>
    <w:rsid w:val="00652187"/>
    <w:rsid w:val="00652346"/>
    <w:rsid w:val="0065234B"/>
    <w:rsid w:val="00652D1E"/>
    <w:rsid w:val="00653067"/>
    <w:rsid w:val="00654180"/>
    <w:rsid w:val="00654649"/>
    <w:rsid w:val="00654744"/>
    <w:rsid w:val="00655078"/>
    <w:rsid w:val="00656231"/>
    <w:rsid w:val="0065663D"/>
    <w:rsid w:val="00656802"/>
    <w:rsid w:val="0065693B"/>
    <w:rsid w:val="00656B34"/>
    <w:rsid w:val="00656E56"/>
    <w:rsid w:val="006601A0"/>
    <w:rsid w:val="006603A2"/>
    <w:rsid w:val="00660C06"/>
    <w:rsid w:val="00660F76"/>
    <w:rsid w:val="0066152F"/>
    <w:rsid w:val="00661923"/>
    <w:rsid w:val="00661DD0"/>
    <w:rsid w:val="00662052"/>
    <w:rsid w:val="006621BA"/>
    <w:rsid w:val="006623F7"/>
    <w:rsid w:val="00662F77"/>
    <w:rsid w:val="00663105"/>
    <w:rsid w:val="006634FF"/>
    <w:rsid w:val="006638C2"/>
    <w:rsid w:val="00663B0B"/>
    <w:rsid w:val="00664185"/>
    <w:rsid w:val="00664392"/>
    <w:rsid w:val="006648AF"/>
    <w:rsid w:val="00664ACF"/>
    <w:rsid w:val="00664AE6"/>
    <w:rsid w:val="00664E2F"/>
    <w:rsid w:val="00665899"/>
    <w:rsid w:val="00665970"/>
    <w:rsid w:val="00665BBE"/>
    <w:rsid w:val="006660A0"/>
    <w:rsid w:val="0067030D"/>
    <w:rsid w:val="006707AB"/>
    <w:rsid w:val="006709D9"/>
    <w:rsid w:val="00670D25"/>
    <w:rsid w:val="00670E39"/>
    <w:rsid w:val="006711BE"/>
    <w:rsid w:val="00671399"/>
    <w:rsid w:val="0067152B"/>
    <w:rsid w:val="00671866"/>
    <w:rsid w:val="00671ADA"/>
    <w:rsid w:val="006724A0"/>
    <w:rsid w:val="00672902"/>
    <w:rsid w:val="006730DA"/>
    <w:rsid w:val="00673708"/>
    <w:rsid w:val="00674AD4"/>
    <w:rsid w:val="00674D75"/>
    <w:rsid w:val="006753A4"/>
    <w:rsid w:val="006753DD"/>
    <w:rsid w:val="00675EC6"/>
    <w:rsid w:val="00676068"/>
    <w:rsid w:val="00676775"/>
    <w:rsid w:val="006777E6"/>
    <w:rsid w:val="00680499"/>
    <w:rsid w:val="0068089F"/>
    <w:rsid w:val="00680A4B"/>
    <w:rsid w:val="00680F10"/>
    <w:rsid w:val="00680FFD"/>
    <w:rsid w:val="006819AF"/>
    <w:rsid w:val="00681C3F"/>
    <w:rsid w:val="00681E07"/>
    <w:rsid w:val="00681FBC"/>
    <w:rsid w:val="006825AB"/>
    <w:rsid w:val="0068398F"/>
    <w:rsid w:val="00683DD9"/>
    <w:rsid w:val="00684AA4"/>
    <w:rsid w:val="00684CAD"/>
    <w:rsid w:val="00684F03"/>
    <w:rsid w:val="00684F78"/>
    <w:rsid w:val="00684FA6"/>
    <w:rsid w:val="00684FE9"/>
    <w:rsid w:val="00685921"/>
    <w:rsid w:val="00685B5E"/>
    <w:rsid w:val="00685D5F"/>
    <w:rsid w:val="00686952"/>
    <w:rsid w:val="00687A58"/>
    <w:rsid w:val="00687AC6"/>
    <w:rsid w:val="00687D75"/>
    <w:rsid w:val="0069076F"/>
    <w:rsid w:val="00690EB2"/>
    <w:rsid w:val="00690F14"/>
    <w:rsid w:val="006916A0"/>
    <w:rsid w:val="006917E7"/>
    <w:rsid w:val="006924AB"/>
    <w:rsid w:val="00692A35"/>
    <w:rsid w:val="00692BBB"/>
    <w:rsid w:val="00692D72"/>
    <w:rsid w:val="00692E2C"/>
    <w:rsid w:val="00692E51"/>
    <w:rsid w:val="006939A2"/>
    <w:rsid w:val="00693E57"/>
    <w:rsid w:val="00693F6E"/>
    <w:rsid w:val="006947E0"/>
    <w:rsid w:val="00694C3D"/>
    <w:rsid w:val="0069517E"/>
    <w:rsid w:val="0069524C"/>
    <w:rsid w:val="00696A91"/>
    <w:rsid w:val="00696AC1"/>
    <w:rsid w:val="00696EA2"/>
    <w:rsid w:val="0069718B"/>
    <w:rsid w:val="00697D2D"/>
    <w:rsid w:val="006A0069"/>
    <w:rsid w:val="006A0674"/>
    <w:rsid w:val="006A099C"/>
    <w:rsid w:val="006A0B52"/>
    <w:rsid w:val="006A0EA6"/>
    <w:rsid w:val="006A1211"/>
    <w:rsid w:val="006A1235"/>
    <w:rsid w:val="006A26F1"/>
    <w:rsid w:val="006A3968"/>
    <w:rsid w:val="006A3E5F"/>
    <w:rsid w:val="006A4101"/>
    <w:rsid w:val="006A440F"/>
    <w:rsid w:val="006A456C"/>
    <w:rsid w:val="006A45E0"/>
    <w:rsid w:val="006A4B47"/>
    <w:rsid w:val="006A525F"/>
    <w:rsid w:val="006A5BBF"/>
    <w:rsid w:val="006A5CB3"/>
    <w:rsid w:val="006A5EB7"/>
    <w:rsid w:val="006A5F5A"/>
    <w:rsid w:val="006A7374"/>
    <w:rsid w:val="006A7B06"/>
    <w:rsid w:val="006B1AC9"/>
    <w:rsid w:val="006B247C"/>
    <w:rsid w:val="006B29C9"/>
    <w:rsid w:val="006B35B3"/>
    <w:rsid w:val="006B49F2"/>
    <w:rsid w:val="006B4D54"/>
    <w:rsid w:val="006B4E65"/>
    <w:rsid w:val="006B5D70"/>
    <w:rsid w:val="006B6C42"/>
    <w:rsid w:val="006C024F"/>
    <w:rsid w:val="006C0357"/>
    <w:rsid w:val="006C0D05"/>
    <w:rsid w:val="006C12A2"/>
    <w:rsid w:val="006C171D"/>
    <w:rsid w:val="006C1BAC"/>
    <w:rsid w:val="006C1E60"/>
    <w:rsid w:val="006C2430"/>
    <w:rsid w:val="006C2457"/>
    <w:rsid w:val="006C24E6"/>
    <w:rsid w:val="006C3328"/>
    <w:rsid w:val="006C346F"/>
    <w:rsid w:val="006C3BD9"/>
    <w:rsid w:val="006C3F53"/>
    <w:rsid w:val="006C4D0B"/>
    <w:rsid w:val="006C4D2B"/>
    <w:rsid w:val="006C585A"/>
    <w:rsid w:val="006C686B"/>
    <w:rsid w:val="006C69E6"/>
    <w:rsid w:val="006C6C37"/>
    <w:rsid w:val="006C6E27"/>
    <w:rsid w:val="006C7081"/>
    <w:rsid w:val="006D07E8"/>
    <w:rsid w:val="006D11E5"/>
    <w:rsid w:val="006D250D"/>
    <w:rsid w:val="006D2A2A"/>
    <w:rsid w:val="006D2FE4"/>
    <w:rsid w:val="006D3FB3"/>
    <w:rsid w:val="006D4CBC"/>
    <w:rsid w:val="006D5071"/>
    <w:rsid w:val="006D5220"/>
    <w:rsid w:val="006D593A"/>
    <w:rsid w:val="006D5C3B"/>
    <w:rsid w:val="006D5FEA"/>
    <w:rsid w:val="006D6349"/>
    <w:rsid w:val="006D64CC"/>
    <w:rsid w:val="006D66CF"/>
    <w:rsid w:val="006D6B53"/>
    <w:rsid w:val="006D6E56"/>
    <w:rsid w:val="006D7583"/>
    <w:rsid w:val="006E0411"/>
    <w:rsid w:val="006E07C4"/>
    <w:rsid w:val="006E086C"/>
    <w:rsid w:val="006E0D63"/>
    <w:rsid w:val="006E112C"/>
    <w:rsid w:val="006E2430"/>
    <w:rsid w:val="006E31CD"/>
    <w:rsid w:val="006E323B"/>
    <w:rsid w:val="006E33FC"/>
    <w:rsid w:val="006E345D"/>
    <w:rsid w:val="006E3549"/>
    <w:rsid w:val="006E3953"/>
    <w:rsid w:val="006E3FB1"/>
    <w:rsid w:val="006E44BA"/>
    <w:rsid w:val="006E4A40"/>
    <w:rsid w:val="006E4D73"/>
    <w:rsid w:val="006E5178"/>
    <w:rsid w:val="006E5AA8"/>
    <w:rsid w:val="006E5F1B"/>
    <w:rsid w:val="006E6888"/>
    <w:rsid w:val="006E6BBE"/>
    <w:rsid w:val="006F0868"/>
    <w:rsid w:val="006F1CEF"/>
    <w:rsid w:val="006F1F77"/>
    <w:rsid w:val="006F2408"/>
    <w:rsid w:val="006F2B5C"/>
    <w:rsid w:val="006F2D3F"/>
    <w:rsid w:val="006F30F8"/>
    <w:rsid w:val="006F37A3"/>
    <w:rsid w:val="006F3D90"/>
    <w:rsid w:val="006F3FE7"/>
    <w:rsid w:val="006F4127"/>
    <w:rsid w:val="006F52DA"/>
    <w:rsid w:val="006F60C3"/>
    <w:rsid w:val="006F617A"/>
    <w:rsid w:val="006F6728"/>
    <w:rsid w:val="006F7200"/>
    <w:rsid w:val="006F72D0"/>
    <w:rsid w:val="006F7D86"/>
    <w:rsid w:val="00700259"/>
    <w:rsid w:val="00700974"/>
    <w:rsid w:val="00700B85"/>
    <w:rsid w:val="007016F2"/>
    <w:rsid w:val="0070182D"/>
    <w:rsid w:val="007019B2"/>
    <w:rsid w:val="00701CFD"/>
    <w:rsid w:val="0070202A"/>
    <w:rsid w:val="0070290E"/>
    <w:rsid w:val="0070319F"/>
    <w:rsid w:val="007035D6"/>
    <w:rsid w:val="00703937"/>
    <w:rsid w:val="007042A2"/>
    <w:rsid w:val="00705286"/>
    <w:rsid w:val="007052D2"/>
    <w:rsid w:val="00705338"/>
    <w:rsid w:val="00705A5B"/>
    <w:rsid w:val="00706EBD"/>
    <w:rsid w:val="00707002"/>
    <w:rsid w:val="00707618"/>
    <w:rsid w:val="0070769C"/>
    <w:rsid w:val="007102AA"/>
    <w:rsid w:val="007103D7"/>
    <w:rsid w:val="00710B73"/>
    <w:rsid w:val="00710CD2"/>
    <w:rsid w:val="0071120E"/>
    <w:rsid w:val="00711796"/>
    <w:rsid w:val="007119A2"/>
    <w:rsid w:val="00711E19"/>
    <w:rsid w:val="00712091"/>
    <w:rsid w:val="007120CC"/>
    <w:rsid w:val="00712590"/>
    <w:rsid w:val="0071295C"/>
    <w:rsid w:val="00713231"/>
    <w:rsid w:val="0071342D"/>
    <w:rsid w:val="007135CE"/>
    <w:rsid w:val="00713A93"/>
    <w:rsid w:val="00714190"/>
    <w:rsid w:val="007143C1"/>
    <w:rsid w:val="00714ADA"/>
    <w:rsid w:val="00715EBE"/>
    <w:rsid w:val="007163EB"/>
    <w:rsid w:val="007165F0"/>
    <w:rsid w:val="00716756"/>
    <w:rsid w:val="0071682C"/>
    <w:rsid w:val="00716BDD"/>
    <w:rsid w:val="00717C4E"/>
    <w:rsid w:val="00720666"/>
    <w:rsid w:val="007209D7"/>
    <w:rsid w:val="00721973"/>
    <w:rsid w:val="007225CA"/>
    <w:rsid w:val="00722BDC"/>
    <w:rsid w:val="00723345"/>
    <w:rsid w:val="00723C31"/>
    <w:rsid w:val="00723FDD"/>
    <w:rsid w:val="0072413A"/>
    <w:rsid w:val="00724220"/>
    <w:rsid w:val="0072450D"/>
    <w:rsid w:val="00724551"/>
    <w:rsid w:val="0072513E"/>
    <w:rsid w:val="00725281"/>
    <w:rsid w:val="007253CA"/>
    <w:rsid w:val="007255D4"/>
    <w:rsid w:val="0072564C"/>
    <w:rsid w:val="00725767"/>
    <w:rsid w:val="00726421"/>
    <w:rsid w:val="0072778E"/>
    <w:rsid w:val="00727D87"/>
    <w:rsid w:val="00730839"/>
    <w:rsid w:val="00730D16"/>
    <w:rsid w:val="007310F3"/>
    <w:rsid w:val="00731591"/>
    <w:rsid w:val="007327F4"/>
    <w:rsid w:val="00732EA6"/>
    <w:rsid w:val="00733073"/>
    <w:rsid w:val="00733973"/>
    <w:rsid w:val="00733E54"/>
    <w:rsid w:val="00734D19"/>
    <w:rsid w:val="00734F69"/>
    <w:rsid w:val="00735335"/>
    <w:rsid w:val="0073547A"/>
    <w:rsid w:val="007356CA"/>
    <w:rsid w:val="007357B7"/>
    <w:rsid w:val="00735942"/>
    <w:rsid w:val="00735B43"/>
    <w:rsid w:val="0073660F"/>
    <w:rsid w:val="00736A9B"/>
    <w:rsid w:val="00736FA6"/>
    <w:rsid w:val="00737DFE"/>
    <w:rsid w:val="007408A4"/>
    <w:rsid w:val="00740AD2"/>
    <w:rsid w:val="007435F8"/>
    <w:rsid w:val="00743684"/>
    <w:rsid w:val="00743A42"/>
    <w:rsid w:val="00743E9C"/>
    <w:rsid w:val="00744486"/>
    <w:rsid w:val="00744DF8"/>
    <w:rsid w:val="00744EB3"/>
    <w:rsid w:val="00744FCC"/>
    <w:rsid w:val="007460E4"/>
    <w:rsid w:val="0074624A"/>
    <w:rsid w:val="007464E6"/>
    <w:rsid w:val="00746825"/>
    <w:rsid w:val="00746BB0"/>
    <w:rsid w:val="00747278"/>
    <w:rsid w:val="00747314"/>
    <w:rsid w:val="00747327"/>
    <w:rsid w:val="0074762B"/>
    <w:rsid w:val="00750766"/>
    <w:rsid w:val="00750D48"/>
    <w:rsid w:val="007514C6"/>
    <w:rsid w:val="00751A05"/>
    <w:rsid w:val="00751A09"/>
    <w:rsid w:val="00751D2D"/>
    <w:rsid w:val="00752C13"/>
    <w:rsid w:val="00753E29"/>
    <w:rsid w:val="00753F4C"/>
    <w:rsid w:val="00754477"/>
    <w:rsid w:val="00754502"/>
    <w:rsid w:val="007546F5"/>
    <w:rsid w:val="007550D2"/>
    <w:rsid w:val="007551EC"/>
    <w:rsid w:val="0075650B"/>
    <w:rsid w:val="007569A7"/>
    <w:rsid w:val="00756A47"/>
    <w:rsid w:val="00756E18"/>
    <w:rsid w:val="0075714E"/>
    <w:rsid w:val="00757968"/>
    <w:rsid w:val="00757AC8"/>
    <w:rsid w:val="00761360"/>
    <w:rsid w:val="00761889"/>
    <w:rsid w:val="007618D0"/>
    <w:rsid w:val="0076249B"/>
    <w:rsid w:val="00762942"/>
    <w:rsid w:val="00762A56"/>
    <w:rsid w:val="00762A6A"/>
    <w:rsid w:val="00762E38"/>
    <w:rsid w:val="00763B60"/>
    <w:rsid w:val="00763B85"/>
    <w:rsid w:val="0076469D"/>
    <w:rsid w:val="007648D8"/>
    <w:rsid w:val="00764C08"/>
    <w:rsid w:val="00764F25"/>
    <w:rsid w:val="007650E3"/>
    <w:rsid w:val="0076541D"/>
    <w:rsid w:val="00765B7F"/>
    <w:rsid w:val="00765D12"/>
    <w:rsid w:val="00766204"/>
    <w:rsid w:val="0076635B"/>
    <w:rsid w:val="007663B5"/>
    <w:rsid w:val="00766A93"/>
    <w:rsid w:val="00766B30"/>
    <w:rsid w:val="00766B42"/>
    <w:rsid w:val="00767802"/>
    <w:rsid w:val="00767A65"/>
    <w:rsid w:val="00767AF7"/>
    <w:rsid w:val="00767F4D"/>
    <w:rsid w:val="007712BB"/>
    <w:rsid w:val="00771866"/>
    <w:rsid w:val="0077268C"/>
    <w:rsid w:val="00772D63"/>
    <w:rsid w:val="0077370C"/>
    <w:rsid w:val="007746E2"/>
    <w:rsid w:val="007751BA"/>
    <w:rsid w:val="0077565C"/>
    <w:rsid w:val="007758B6"/>
    <w:rsid w:val="00775C73"/>
    <w:rsid w:val="00776F59"/>
    <w:rsid w:val="00777E1A"/>
    <w:rsid w:val="00777EE7"/>
    <w:rsid w:val="0078053C"/>
    <w:rsid w:val="00780E5B"/>
    <w:rsid w:val="00780F1F"/>
    <w:rsid w:val="0078158E"/>
    <w:rsid w:val="00782506"/>
    <w:rsid w:val="00782DEC"/>
    <w:rsid w:val="00783254"/>
    <w:rsid w:val="00783BB9"/>
    <w:rsid w:val="00783CB7"/>
    <w:rsid w:val="00784240"/>
    <w:rsid w:val="007843D4"/>
    <w:rsid w:val="00784FD7"/>
    <w:rsid w:val="00785343"/>
    <w:rsid w:val="007866A7"/>
    <w:rsid w:val="007867E5"/>
    <w:rsid w:val="0078773F"/>
    <w:rsid w:val="00787874"/>
    <w:rsid w:val="0079009E"/>
    <w:rsid w:val="00790CF4"/>
    <w:rsid w:val="00790FC2"/>
    <w:rsid w:val="00791144"/>
    <w:rsid w:val="0079210B"/>
    <w:rsid w:val="007921BE"/>
    <w:rsid w:val="00793450"/>
    <w:rsid w:val="0079377A"/>
    <w:rsid w:val="00793991"/>
    <w:rsid w:val="00794006"/>
    <w:rsid w:val="00794643"/>
    <w:rsid w:val="007949E1"/>
    <w:rsid w:val="00795571"/>
    <w:rsid w:val="00795990"/>
    <w:rsid w:val="007962D3"/>
    <w:rsid w:val="00797137"/>
    <w:rsid w:val="00797C9E"/>
    <w:rsid w:val="007A009F"/>
    <w:rsid w:val="007A0A1E"/>
    <w:rsid w:val="007A123E"/>
    <w:rsid w:val="007A1A54"/>
    <w:rsid w:val="007A1F3E"/>
    <w:rsid w:val="007A3B1B"/>
    <w:rsid w:val="007A451C"/>
    <w:rsid w:val="007A48D1"/>
    <w:rsid w:val="007A5367"/>
    <w:rsid w:val="007A5748"/>
    <w:rsid w:val="007A5BBA"/>
    <w:rsid w:val="007A6177"/>
    <w:rsid w:val="007A6415"/>
    <w:rsid w:val="007A6C3A"/>
    <w:rsid w:val="007A7B7A"/>
    <w:rsid w:val="007B028D"/>
    <w:rsid w:val="007B0F44"/>
    <w:rsid w:val="007B12BF"/>
    <w:rsid w:val="007B1C6C"/>
    <w:rsid w:val="007B20C4"/>
    <w:rsid w:val="007B2E33"/>
    <w:rsid w:val="007B3536"/>
    <w:rsid w:val="007B3AE1"/>
    <w:rsid w:val="007B4079"/>
    <w:rsid w:val="007B429A"/>
    <w:rsid w:val="007B46B1"/>
    <w:rsid w:val="007B4A53"/>
    <w:rsid w:val="007B4CE0"/>
    <w:rsid w:val="007B5A1F"/>
    <w:rsid w:val="007B5E1A"/>
    <w:rsid w:val="007B6388"/>
    <w:rsid w:val="007B6F23"/>
    <w:rsid w:val="007B7C6B"/>
    <w:rsid w:val="007B7F93"/>
    <w:rsid w:val="007C0E35"/>
    <w:rsid w:val="007C0E53"/>
    <w:rsid w:val="007C15F3"/>
    <w:rsid w:val="007C20DD"/>
    <w:rsid w:val="007C2415"/>
    <w:rsid w:val="007C2B7D"/>
    <w:rsid w:val="007C3078"/>
    <w:rsid w:val="007C3A55"/>
    <w:rsid w:val="007C3DD0"/>
    <w:rsid w:val="007C3E8D"/>
    <w:rsid w:val="007C4977"/>
    <w:rsid w:val="007C4B41"/>
    <w:rsid w:val="007C555F"/>
    <w:rsid w:val="007C5953"/>
    <w:rsid w:val="007C5EFC"/>
    <w:rsid w:val="007C6128"/>
    <w:rsid w:val="007C6ADF"/>
    <w:rsid w:val="007C6F8C"/>
    <w:rsid w:val="007C71A9"/>
    <w:rsid w:val="007C7227"/>
    <w:rsid w:val="007C751E"/>
    <w:rsid w:val="007C7A59"/>
    <w:rsid w:val="007D01A7"/>
    <w:rsid w:val="007D03B2"/>
    <w:rsid w:val="007D058C"/>
    <w:rsid w:val="007D0AA5"/>
    <w:rsid w:val="007D143A"/>
    <w:rsid w:val="007D2419"/>
    <w:rsid w:val="007D2A39"/>
    <w:rsid w:val="007D2C74"/>
    <w:rsid w:val="007D32EA"/>
    <w:rsid w:val="007D44D9"/>
    <w:rsid w:val="007D466C"/>
    <w:rsid w:val="007D48DE"/>
    <w:rsid w:val="007D5244"/>
    <w:rsid w:val="007D53D0"/>
    <w:rsid w:val="007D5924"/>
    <w:rsid w:val="007D66CB"/>
    <w:rsid w:val="007D6A5E"/>
    <w:rsid w:val="007D6D4B"/>
    <w:rsid w:val="007D6EF5"/>
    <w:rsid w:val="007D7859"/>
    <w:rsid w:val="007D7882"/>
    <w:rsid w:val="007E078B"/>
    <w:rsid w:val="007E0AD3"/>
    <w:rsid w:val="007E0AD6"/>
    <w:rsid w:val="007E0E4D"/>
    <w:rsid w:val="007E112B"/>
    <w:rsid w:val="007E2225"/>
    <w:rsid w:val="007E29B2"/>
    <w:rsid w:val="007E3C86"/>
    <w:rsid w:val="007E3CF2"/>
    <w:rsid w:val="007E4216"/>
    <w:rsid w:val="007E42B3"/>
    <w:rsid w:val="007E50A6"/>
    <w:rsid w:val="007E51E8"/>
    <w:rsid w:val="007E5990"/>
    <w:rsid w:val="007E649F"/>
    <w:rsid w:val="007E6B50"/>
    <w:rsid w:val="007E77CC"/>
    <w:rsid w:val="007F018B"/>
    <w:rsid w:val="007F052D"/>
    <w:rsid w:val="007F1254"/>
    <w:rsid w:val="007F1422"/>
    <w:rsid w:val="007F1A63"/>
    <w:rsid w:val="007F1E9B"/>
    <w:rsid w:val="007F21ED"/>
    <w:rsid w:val="007F2AB6"/>
    <w:rsid w:val="007F2D63"/>
    <w:rsid w:val="007F3204"/>
    <w:rsid w:val="007F3B2F"/>
    <w:rsid w:val="007F3CEF"/>
    <w:rsid w:val="007F3D5D"/>
    <w:rsid w:val="007F4C20"/>
    <w:rsid w:val="007F4CEC"/>
    <w:rsid w:val="007F51E3"/>
    <w:rsid w:val="007F54F1"/>
    <w:rsid w:val="007F61D2"/>
    <w:rsid w:val="007F68B6"/>
    <w:rsid w:val="007F79FA"/>
    <w:rsid w:val="007F7E70"/>
    <w:rsid w:val="0080009D"/>
    <w:rsid w:val="00800293"/>
    <w:rsid w:val="00800E49"/>
    <w:rsid w:val="0080135A"/>
    <w:rsid w:val="0080196B"/>
    <w:rsid w:val="0080255E"/>
    <w:rsid w:val="00802CFC"/>
    <w:rsid w:val="00802DA3"/>
    <w:rsid w:val="00804361"/>
    <w:rsid w:val="0080440E"/>
    <w:rsid w:val="0080442F"/>
    <w:rsid w:val="008044EE"/>
    <w:rsid w:val="00804648"/>
    <w:rsid w:val="00804F87"/>
    <w:rsid w:val="00805227"/>
    <w:rsid w:val="008054C2"/>
    <w:rsid w:val="008058D8"/>
    <w:rsid w:val="008058FC"/>
    <w:rsid w:val="00805B14"/>
    <w:rsid w:val="00806D18"/>
    <w:rsid w:val="008070FA"/>
    <w:rsid w:val="0080784B"/>
    <w:rsid w:val="0080794E"/>
    <w:rsid w:val="00810150"/>
    <w:rsid w:val="00810D05"/>
    <w:rsid w:val="00810EAB"/>
    <w:rsid w:val="008113F3"/>
    <w:rsid w:val="00812297"/>
    <w:rsid w:val="00812307"/>
    <w:rsid w:val="0081239A"/>
    <w:rsid w:val="00812CCC"/>
    <w:rsid w:val="00812DC8"/>
    <w:rsid w:val="00813055"/>
    <w:rsid w:val="008131DD"/>
    <w:rsid w:val="0081378B"/>
    <w:rsid w:val="0081401B"/>
    <w:rsid w:val="0081412B"/>
    <w:rsid w:val="00814707"/>
    <w:rsid w:val="00814D88"/>
    <w:rsid w:val="008150F4"/>
    <w:rsid w:val="0081512F"/>
    <w:rsid w:val="008151B4"/>
    <w:rsid w:val="008157C5"/>
    <w:rsid w:val="0081613C"/>
    <w:rsid w:val="008169E8"/>
    <w:rsid w:val="00816BBB"/>
    <w:rsid w:val="008171ED"/>
    <w:rsid w:val="008179DF"/>
    <w:rsid w:val="00817ED3"/>
    <w:rsid w:val="008205E7"/>
    <w:rsid w:val="008207DD"/>
    <w:rsid w:val="00821FA5"/>
    <w:rsid w:val="008226EA"/>
    <w:rsid w:val="00822BFE"/>
    <w:rsid w:val="00822E24"/>
    <w:rsid w:val="00823192"/>
    <w:rsid w:val="00823430"/>
    <w:rsid w:val="008239FD"/>
    <w:rsid w:val="00823B73"/>
    <w:rsid w:val="008243C8"/>
    <w:rsid w:val="00824DA7"/>
    <w:rsid w:val="00825BBA"/>
    <w:rsid w:val="00825D3B"/>
    <w:rsid w:val="0082617A"/>
    <w:rsid w:val="00826227"/>
    <w:rsid w:val="0082648C"/>
    <w:rsid w:val="00826841"/>
    <w:rsid w:val="00827081"/>
    <w:rsid w:val="00830CE1"/>
    <w:rsid w:val="00830F12"/>
    <w:rsid w:val="0083224E"/>
    <w:rsid w:val="008325B8"/>
    <w:rsid w:val="00832602"/>
    <w:rsid w:val="008335E2"/>
    <w:rsid w:val="00833660"/>
    <w:rsid w:val="008341C8"/>
    <w:rsid w:val="00834DAB"/>
    <w:rsid w:val="00835616"/>
    <w:rsid w:val="00835CBC"/>
    <w:rsid w:val="00835D0D"/>
    <w:rsid w:val="00836D3F"/>
    <w:rsid w:val="00836DFA"/>
    <w:rsid w:val="00836F53"/>
    <w:rsid w:val="00837192"/>
    <w:rsid w:val="008375B8"/>
    <w:rsid w:val="00837A03"/>
    <w:rsid w:val="00840079"/>
    <w:rsid w:val="008407EE"/>
    <w:rsid w:val="00841738"/>
    <w:rsid w:val="00841DB7"/>
    <w:rsid w:val="00842070"/>
    <w:rsid w:val="00842870"/>
    <w:rsid w:val="00842E39"/>
    <w:rsid w:val="00842FC9"/>
    <w:rsid w:val="00843928"/>
    <w:rsid w:val="008439FA"/>
    <w:rsid w:val="00843A14"/>
    <w:rsid w:val="00843A9E"/>
    <w:rsid w:val="00843AAE"/>
    <w:rsid w:val="00843F2C"/>
    <w:rsid w:val="008441B6"/>
    <w:rsid w:val="00844A9A"/>
    <w:rsid w:val="00844AA4"/>
    <w:rsid w:val="00844D0B"/>
    <w:rsid w:val="00846050"/>
    <w:rsid w:val="008462B9"/>
    <w:rsid w:val="0084678E"/>
    <w:rsid w:val="008469A6"/>
    <w:rsid w:val="00846AA5"/>
    <w:rsid w:val="0084707E"/>
    <w:rsid w:val="00847FF9"/>
    <w:rsid w:val="00850716"/>
    <w:rsid w:val="00850AE9"/>
    <w:rsid w:val="00850EE4"/>
    <w:rsid w:val="0085120A"/>
    <w:rsid w:val="00851237"/>
    <w:rsid w:val="008523F2"/>
    <w:rsid w:val="00852782"/>
    <w:rsid w:val="00854605"/>
    <w:rsid w:val="0085471B"/>
    <w:rsid w:val="00854B22"/>
    <w:rsid w:val="00854CF9"/>
    <w:rsid w:val="00855323"/>
    <w:rsid w:val="00855454"/>
    <w:rsid w:val="008557A9"/>
    <w:rsid w:val="008567BB"/>
    <w:rsid w:val="008569FE"/>
    <w:rsid w:val="00857FFD"/>
    <w:rsid w:val="00863D71"/>
    <w:rsid w:val="0086518F"/>
    <w:rsid w:val="0086553C"/>
    <w:rsid w:val="00865542"/>
    <w:rsid w:val="0086565A"/>
    <w:rsid w:val="00865CE3"/>
    <w:rsid w:val="008664B3"/>
    <w:rsid w:val="008664DD"/>
    <w:rsid w:val="00867580"/>
    <w:rsid w:val="00867DD8"/>
    <w:rsid w:val="00867EAF"/>
    <w:rsid w:val="00870B01"/>
    <w:rsid w:val="00870EFD"/>
    <w:rsid w:val="008712C9"/>
    <w:rsid w:val="008714B9"/>
    <w:rsid w:val="00871E3B"/>
    <w:rsid w:val="0087211B"/>
    <w:rsid w:val="008721A4"/>
    <w:rsid w:val="008723C0"/>
    <w:rsid w:val="00872408"/>
    <w:rsid w:val="00872DFF"/>
    <w:rsid w:val="00872E4C"/>
    <w:rsid w:val="00873D5E"/>
    <w:rsid w:val="008745FE"/>
    <w:rsid w:val="00874982"/>
    <w:rsid w:val="00874CC8"/>
    <w:rsid w:val="0087542B"/>
    <w:rsid w:val="008756C7"/>
    <w:rsid w:val="00875CCF"/>
    <w:rsid w:val="008762CF"/>
    <w:rsid w:val="00876316"/>
    <w:rsid w:val="00876397"/>
    <w:rsid w:val="008764BD"/>
    <w:rsid w:val="00876D29"/>
    <w:rsid w:val="00877412"/>
    <w:rsid w:val="008774FB"/>
    <w:rsid w:val="0087765B"/>
    <w:rsid w:val="008778C3"/>
    <w:rsid w:val="00877BE2"/>
    <w:rsid w:val="008800B3"/>
    <w:rsid w:val="00880443"/>
    <w:rsid w:val="0088085A"/>
    <w:rsid w:val="008810BF"/>
    <w:rsid w:val="00881C4B"/>
    <w:rsid w:val="00881C96"/>
    <w:rsid w:val="008820F5"/>
    <w:rsid w:val="00882843"/>
    <w:rsid w:val="00882B8B"/>
    <w:rsid w:val="00883311"/>
    <w:rsid w:val="008833BE"/>
    <w:rsid w:val="0088345A"/>
    <w:rsid w:val="00884239"/>
    <w:rsid w:val="0088466F"/>
    <w:rsid w:val="00884E89"/>
    <w:rsid w:val="00886526"/>
    <w:rsid w:val="008867EE"/>
    <w:rsid w:val="00886B79"/>
    <w:rsid w:val="00886E4C"/>
    <w:rsid w:val="0089036B"/>
    <w:rsid w:val="008906F6"/>
    <w:rsid w:val="00890844"/>
    <w:rsid w:val="008908FE"/>
    <w:rsid w:val="0089106E"/>
    <w:rsid w:val="008910C4"/>
    <w:rsid w:val="008917C6"/>
    <w:rsid w:val="00891B0D"/>
    <w:rsid w:val="00891C1F"/>
    <w:rsid w:val="008922C2"/>
    <w:rsid w:val="00892968"/>
    <w:rsid w:val="0089376F"/>
    <w:rsid w:val="00894CC1"/>
    <w:rsid w:val="00894CE4"/>
    <w:rsid w:val="00894E39"/>
    <w:rsid w:val="00895A16"/>
    <w:rsid w:val="008960BE"/>
    <w:rsid w:val="00896B93"/>
    <w:rsid w:val="008A01A3"/>
    <w:rsid w:val="008A06BC"/>
    <w:rsid w:val="008A0ABA"/>
    <w:rsid w:val="008A16FB"/>
    <w:rsid w:val="008A195F"/>
    <w:rsid w:val="008A277B"/>
    <w:rsid w:val="008A29A2"/>
    <w:rsid w:val="008A29D7"/>
    <w:rsid w:val="008A2EFF"/>
    <w:rsid w:val="008A3135"/>
    <w:rsid w:val="008A37C8"/>
    <w:rsid w:val="008A42B3"/>
    <w:rsid w:val="008A5151"/>
    <w:rsid w:val="008A5DD3"/>
    <w:rsid w:val="008A6B21"/>
    <w:rsid w:val="008A6DC3"/>
    <w:rsid w:val="008A6F8F"/>
    <w:rsid w:val="008A73B9"/>
    <w:rsid w:val="008A76DC"/>
    <w:rsid w:val="008A7B67"/>
    <w:rsid w:val="008A7D37"/>
    <w:rsid w:val="008A7EBE"/>
    <w:rsid w:val="008B0AB5"/>
    <w:rsid w:val="008B103D"/>
    <w:rsid w:val="008B1BDA"/>
    <w:rsid w:val="008B1E1A"/>
    <w:rsid w:val="008B20C9"/>
    <w:rsid w:val="008B2C47"/>
    <w:rsid w:val="008B3931"/>
    <w:rsid w:val="008B3CCA"/>
    <w:rsid w:val="008B417F"/>
    <w:rsid w:val="008B45F5"/>
    <w:rsid w:val="008B55C3"/>
    <w:rsid w:val="008B765C"/>
    <w:rsid w:val="008B78B6"/>
    <w:rsid w:val="008C0111"/>
    <w:rsid w:val="008C0B5A"/>
    <w:rsid w:val="008C0EF5"/>
    <w:rsid w:val="008C0F47"/>
    <w:rsid w:val="008C1355"/>
    <w:rsid w:val="008C176C"/>
    <w:rsid w:val="008C1BB2"/>
    <w:rsid w:val="008C1CDD"/>
    <w:rsid w:val="008C1CEC"/>
    <w:rsid w:val="008C2079"/>
    <w:rsid w:val="008C2492"/>
    <w:rsid w:val="008C2A89"/>
    <w:rsid w:val="008C2B09"/>
    <w:rsid w:val="008C2DAA"/>
    <w:rsid w:val="008C38B9"/>
    <w:rsid w:val="008C3F5B"/>
    <w:rsid w:val="008C41BF"/>
    <w:rsid w:val="008C4487"/>
    <w:rsid w:val="008C4DEE"/>
    <w:rsid w:val="008C58A9"/>
    <w:rsid w:val="008C5A70"/>
    <w:rsid w:val="008C5AF5"/>
    <w:rsid w:val="008C5C48"/>
    <w:rsid w:val="008C5C86"/>
    <w:rsid w:val="008C612F"/>
    <w:rsid w:val="008C651D"/>
    <w:rsid w:val="008C6D81"/>
    <w:rsid w:val="008C766E"/>
    <w:rsid w:val="008C7D90"/>
    <w:rsid w:val="008D05B5"/>
    <w:rsid w:val="008D0660"/>
    <w:rsid w:val="008D0AFE"/>
    <w:rsid w:val="008D0CAC"/>
    <w:rsid w:val="008D0D2C"/>
    <w:rsid w:val="008D0E8C"/>
    <w:rsid w:val="008D0F26"/>
    <w:rsid w:val="008D0F4D"/>
    <w:rsid w:val="008D0F57"/>
    <w:rsid w:val="008D16D2"/>
    <w:rsid w:val="008D1C72"/>
    <w:rsid w:val="008D28A9"/>
    <w:rsid w:val="008D2B67"/>
    <w:rsid w:val="008D2BDB"/>
    <w:rsid w:val="008D3050"/>
    <w:rsid w:val="008D41A2"/>
    <w:rsid w:val="008D46BF"/>
    <w:rsid w:val="008D491E"/>
    <w:rsid w:val="008D4C98"/>
    <w:rsid w:val="008D4ED2"/>
    <w:rsid w:val="008D550C"/>
    <w:rsid w:val="008D5874"/>
    <w:rsid w:val="008D634B"/>
    <w:rsid w:val="008D666C"/>
    <w:rsid w:val="008D6E11"/>
    <w:rsid w:val="008D6FBD"/>
    <w:rsid w:val="008D74D5"/>
    <w:rsid w:val="008E12F2"/>
    <w:rsid w:val="008E14B0"/>
    <w:rsid w:val="008E1888"/>
    <w:rsid w:val="008E1A5F"/>
    <w:rsid w:val="008E22D0"/>
    <w:rsid w:val="008E285E"/>
    <w:rsid w:val="008E2E8F"/>
    <w:rsid w:val="008E373A"/>
    <w:rsid w:val="008E3D95"/>
    <w:rsid w:val="008E4CF3"/>
    <w:rsid w:val="008E518F"/>
    <w:rsid w:val="008E53A6"/>
    <w:rsid w:val="008E54D2"/>
    <w:rsid w:val="008E5A9C"/>
    <w:rsid w:val="008E5C87"/>
    <w:rsid w:val="008E5FA0"/>
    <w:rsid w:val="008E6671"/>
    <w:rsid w:val="008E6BD5"/>
    <w:rsid w:val="008E6D91"/>
    <w:rsid w:val="008E6F31"/>
    <w:rsid w:val="008E703F"/>
    <w:rsid w:val="008E7473"/>
    <w:rsid w:val="008E7AF9"/>
    <w:rsid w:val="008F0398"/>
    <w:rsid w:val="008F07A1"/>
    <w:rsid w:val="008F0ED4"/>
    <w:rsid w:val="008F130E"/>
    <w:rsid w:val="008F15A7"/>
    <w:rsid w:val="008F1892"/>
    <w:rsid w:val="008F19D6"/>
    <w:rsid w:val="008F1FB4"/>
    <w:rsid w:val="008F20D2"/>
    <w:rsid w:val="008F2435"/>
    <w:rsid w:val="008F2618"/>
    <w:rsid w:val="008F2E27"/>
    <w:rsid w:val="008F40E8"/>
    <w:rsid w:val="008F4636"/>
    <w:rsid w:val="008F4AAE"/>
    <w:rsid w:val="008F4B81"/>
    <w:rsid w:val="008F5D02"/>
    <w:rsid w:val="008F69EE"/>
    <w:rsid w:val="008F6FEC"/>
    <w:rsid w:val="008F703F"/>
    <w:rsid w:val="008F75E1"/>
    <w:rsid w:val="008F7A00"/>
    <w:rsid w:val="008F7DAE"/>
    <w:rsid w:val="009001A5"/>
    <w:rsid w:val="009006FF"/>
    <w:rsid w:val="00901087"/>
    <w:rsid w:val="00901B89"/>
    <w:rsid w:val="00901D11"/>
    <w:rsid w:val="00901E49"/>
    <w:rsid w:val="00902112"/>
    <w:rsid w:val="00902198"/>
    <w:rsid w:val="00902CB7"/>
    <w:rsid w:val="009033D9"/>
    <w:rsid w:val="00903593"/>
    <w:rsid w:val="00903B50"/>
    <w:rsid w:val="009043FD"/>
    <w:rsid w:val="009048D1"/>
    <w:rsid w:val="00904C3D"/>
    <w:rsid w:val="00905343"/>
    <w:rsid w:val="00905C47"/>
    <w:rsid w:val="00905E3C"/>
    <w:rsid w:val="009060CB"/>
    <w:rsid w:val="009061B4"/>
    <w:rsid w:val="009063B8"/>
    <w:rsid w:val="00906EE9"/>
    <w:rsid w:val="00907389"/>
    <w:rsid w:val="009074C8"/>
    <w:rsid w:val="00907CE7"/>
    <w:rsid w:val="00911299"/>
    <w:rsid w:val="009112D1"/>
    <w:rsid w:val="0091196E"/>
    <w:rsid w:val="00911E0F"/>
    <w:rsid w:val="009124AA"/>
    <w:rsid w:val="00912CA3"/>
    <w:rsid w:val="00913786"/>
    <w:rsid w:val="009139E2"/>
    <w:rsid w:val="00913A24"/>
    <w:rsid w:val="00914230"/>
    <w:rsid w:val="00914241"/>
    <w:rsid w:val="009145B5"/>
    <w:rsid w:val="00914EE7"/>
    <w:rsid w:val="00914FE6"/>
    <w:rsid w:val="0091531F"/>
    <w:rsid w:val="009164BB"/>
    <w:rsid w:val="0091685E"/>
    <w:rsid w:val="00916994"/>
    <w:rsid w:val="00916AF5"/>
    <w:rsid w:val="00917760"/>
    <w:rsid w:val="00917A50"/>
    <w:rsid w:val="00917AC6"/>
    <w:rsid w:val="00917EF7"/>
    <w:rsid w:val="0092044B"/>
    <w:rsid w:val="009207C3"/>
    <w:rsid w:val="00920835"/>
    <w:rsid w:val="00921076"/>
    <w:rsid w:val="0092123C"/>
    <w:rsid w:val="009218DC"/>
    <w:rsid w:val="00921943"/>
    <w:rsid w:val="0092292D"/>
    <w:rsid w:val="00922DF2"/>
    <w:rsid w:val="00923002"/>
    <w:rsid w:val="009231BD"/>
    <w:rsid w:val="009233F6"/>
    <w:rsid w:val="00924418"/>
    <w:rsid w:val="00924498"/>
    <w:rsid w:val="0092470E"/>
    <w:rsid w:val="00924A36"/>
    <w:rsid w:val="00925708"/>
    <w:rsid w:val="00925C60"/>
    <w:rsid w:val="00925E68"/>
    <w:rsid w:val="00925F1B"/>
    <w:rsid w:val="009264CA"/>
    <w:rsid w:val="009266B5"/>
    <w:rsid w:val="009267B7"/>
    <w:rsid w:val="009269CB"/>
    <w:rsid w:val="00926BF2"/>
    <w:rsid w:val="00926D47"/>
    <w:rsid w:val="00926F6C"/>
    <w:rsid w:val="00927AEF"/>
    <w:rsid w:val="009308D8"/>
    <w:rsid w:val="00930967"/>
    <w:rsid w:val="0093133A"/>
    <w:rsid w:val="0093136A"/>
    <w:rsid w:val="009313B5"/>
    <w:rsid w:val="00932811"/>
    <w:rsid w:val="009331A7"/>
    <w:rsid w:val="00933244"/>
    <w:rsid w:val="009333C2"/>
    <w:rsid w:val="009334CE"/>
    <w:rsid w:val="00933AAB"/>
    <w:rsid w:val="00933B71"/>
    <w:rsid w:val="00933C92"/>
    <w:rsid w:val="00933E23"/>
    <w:rsid w:val="00934042"/>
    <w:rsid w:val="00934A24"/>
    <w:rsid w:val="00935639"/>
    <w:rsid w:val="0093741D"/>
    <w:rsid w:val="00937BCD"/>
    <w:rsid w:val="009400BA"/>
    <w:rsid w:val="00940436"/>
    <w:rsid w:val="00940482"/>
    <w:rsid w:val="009404FF"/>
    <w:rsid w:val="009410A6"/>
    <w:rsid w:val="00941EFB"/>
    <w:rsid w:val="0094269D"/>
    <w:rsid w:val="00942C0D"/>
    <w:rsid w:val="0094419A"/>
    <w:rsid w:val="0094450F"/>
    <w:rsid w:val="00944FFA"/>
    <w:rsid w:val="009459E9"/>
    <w:rsid w:val="00945A69"/>
    <w:rsid w:val="00945BFA"/>
    <w:rsid w:val="0094654B"/>
    <w:rsid w:val="0094712A"/>
    <w:rsid w:val="00947715"/>
    <w:rsid w:val="009477AE"/>
    <w:rsid w:val="00947A42"/>
    <w:rsid w:val="00947A70"/>
    <w:rsid w:val="00947C33"/>
    <w:rsid w:val="00950719"/>
    <w:rsid w:val="00950D11"/>
    <w:rsid w:val="00950D5A"/>
    <w:rsid w:val="009520D1"/>
    <w:rsid w:val="00952E97"/>
    <w:rsid w:val="0095398D"/>
    <w:rsid w:val="00953C92"/>
    <w:rsid w:val="009541A4"/>
    <w:rsid w:val="00954802"/>
    <w:rsid w:val="00954A3C"/>
    <w:rsid w:val="00954B51"/>
    <w:rsid w:val="00955203"/>
    <w:rsid w:val="00955A4E"/>
    <w:rsid w:val="0095611C"/>
    <w:rsid w:val="0095652A"/>
    <w:rsid w:val="009566FC"/>
    <w:rsid w:val="00956C1C"/>
    <w:rsid w:val="00956CC9"/>
    <w:rsid w:val="00957300"/>
    <w:rsid w:val="00957D0A"/>
    <w:rsid w:val="00960018"/>
    <w:rsid w:val="00960060"/>
    <w:rsid w:val="00960306"/>
    <w:rsid w:val="009603D1"/>
    <w:rsid w:val="009608DB"/>
    <w:rsid w:val="00960E53"/>
    <w:rsid w:val="00960E93"/>
    <w:rsid w:val="009619A6"/>
    <w:rsid w:val="00962901"/>
    <w:rsid w:val="00962DC2"/>
    <w:rsid w:val="00962F42"/>
    <w:rsid w:val="00963052"/>
    <w:rsid w:val="00963C00"/>
    <w:rsid w:val="00964A59"/>
    <w:rsid w:val="0096534D"/>
    <w:rsid w:val="00965715"/>
    <w:rsid w:val="00965AE6"/>
    <w:rsid w:val="00965E91"/>
    <w:rsid w:val="00966048"/>
    <w:rsid w:val="0096686C"/>
    <w:rsid w:val="00967B6F"/>
    <w:rsid w:val="00970022"/>
    <w:rsid w:val="00970134"/>
    <w:rsid w:val="00970506"/>
    <w:rsid w:val="00970EFF"/>
    <w:rsid w:val="00970FA0"/>
    <w:rsid w:val="0097212B"/>
    <w:rsid w:val="00972860"/>
    <w:rsid w:val="009730C0"/>
    <w:rsid w:val="0097360B"/>
    <w:rsid w:val="00973FBC"/>
    <w:rsid w:val="0097483E"/>
    <w:rsid w:val="00974995"/>
    <w:rsid w:val="00974A70"/>
    <w:rsid w:val="00975393"/>
    <w:rsid w:val="00975559"/>
    <w:rsid w:val="00976EBF"/>
    <w:rsid w:val="0097731F"/>
    <w:rsid w:val="00980228"/>
    <w:rsid w:val="009811C0"/>
    <w:rsid w:val="009818CE"/>
    <w:rsid w:val="00981C22"/>
    <w:rsid w:val="0098256D"/>
    <w:rsid w:val="00982ED3"/>
    <w:rsid w:val="00982F10"/>
    <w:rsid w:val="00982F21"/>
    <w:rsid w:val="00983024"/>
    <w:rsid w:val="00983CDC"/>
    <w:rsid w:val="00984D30"/>
    <w:rsid w:val="00985025"/>
    <w:rsid w:val="009852C9"/>
    <w:rsid w:val="0098553B"/>
    <w:rsid w:val="00985B46"/>
    <w:rsid w:val="00986600"/>
    <w:rsid w:val="009866E4"/>
    <w:rsid w:val="009867A5"/>
    <w:rsid w:val="009869B6"/>
    <w:rsid w:val="00986D3E"/>
    <w:rsid w:val="009878A4"/>
    <w:rsid w:val="00987A21"/>
    <w:rsid w:val="00987D78"/>
    <w:rsid w:val="00987DE3"/>
    <w:rsid w:val="00990DE8"/>
    <w:rsid w:val="00990F44"/>
    <w:rsid w:val="0099150C"/>
    <w:rsid w:val="0099389B"/>
    <w:rsid w:val="00993945"/>
    <w:rsid w:val="00993D80"/>
    <w:rsid w:val="00994EA0"/>
    <w:rsid w:val="00994F67"/>
    <w:rsid w:val="00994FBC"/>
    <w:rsid w:val="0099517F"/>
    <w:rsid w:val="009951BE"/>
    <w:rsid w:val="009961A6"/>
    <w:rsid w:val="009968AC"/>
    <w:rsid w:val="0099711E"/>
    <w:rsid w:val="00997F1C"/>
    <w:rsid w:val="009A0187"/>
    <w:rsid w:val="009A1049"/>
    <w:rsid w:val="009A269D"/>
    <w:rsid w:val="009A278F"/>
    <w:rsid w:val="009A30A1"/>
    <w:rsid w:val="009A4445"/>
    <w:rsid w:val="009A5002"/>
    <w:rsid w:val="009A5137"/>
    <w:rsid w:val="009A56FD"/>
    <w:rsid w:val="009A5765"/>
    <w:rsid w:val="009A594E"/>
    <w:rsid w:val="009A5981"/>
    <w:rsid w:val="009A5E09"/>
    <w:rsid w:val="009A60BD"/>
    <w:rsid w:val="009A6174"/>
    <w:rsid w:val="009A6573"/>
    <w:rsid w:val="009A68FD"/>
    <w:rsid w:val="009A7B03"/>
    <w:rsid w:val="009B13B7"/>
    <w:rsid w:val="009B1A33"/>
    <w:rsid w:val="009B1B37"/>
    <w:rsid w:val="009B1F1E"/>
    <w:rsid w:val="009B45A4"/>
    <w:rsid w:val="009B4D31"/>
    <w:rsid w:val="009B53D5"/>
    <w:rsid w:val="009B6144"/>
    <w:rsid w:val="009B6CB1"/>
    <w:rsid w:val="009B75F6"/>
    <w:rsid w:val="009B78D4"/>
    <w:rsid w:val="009B7B59"/>
    <w:rsid w:val="009C0036"/>
    <w:rsid w:val="009C0158"/>
    <w:rsid w:val="009C02FB"/>
    <w:rsid w:val="009C1A77"/>
    <w:rsid w:val="009C2311"/>
    <w:rsid w:val="009C2660"/>
    <w:rsid w:val="009C2E1C"/>
    <w:rsid w:val="009C3174"/>
    <w:rsid w:val="009C3E04"/>
    <w:rsid w:val="009C3F4C"/>
    <w:rsid w:val="009C4284"/>
    <w:rsid w:val="009C440F"/>
    <w:rsid w:val="009C4E5A"/>
    <w:rsid w:val="009C5A4E"/>
    <w:rsid w:val="009C67E7"/>
    <w:rsid w:val="009C6EA7"/>
    <w:rsid w:val="009C6F84"/>
    <w:rsid w:val="009C77CB"/>
    <w:rsid w:val="009D0034"/>
    <w:rsid w:val="009D03DA"/>
    <w:rsid w:val="009D04AC"/>
    <w:rsid w:val="009D07DB"/>
    <w:rsid w:val="009D099B"/>
    <w:rsid w:val="009D0BC9"/>
    <w:rsid w:val="009D0C0C"/>
    <w:rsid w:val="009D14DD"/>
    <w:rsid w:val="009D1711"/>
    <w:rsid w:val="009D1D43"/>
    <w:rsid w:val="009D36BF"/>
    <w:rsid w:val="009D4199"/>
    <w:rsid w:val="009D44C5"/>
    <w:rsid w:val="009D472F"/>
    <w:rsid w:val="009D4B2E"/>
    <w:rsid w:val="009D4C79"/>
    <w:rsid w:val="009D4CE9"/>
    <w:rsid w:val="009D4FD6"/>
    <w:rsid w:val="009D5107"/>
    <w:rsid w:val="009D5806"/>
    <w:rsid w:val="009D5DFE"/>
    <w:rsid w:val="009D5F7D"/>
    <w:rsid w:val="009D6952"/>
    <w:rsid w:val="009D7287"/>
    <w:rsid w:val="009D74EB"/>
    <w:rsid w:val="009D777E"/>
    <w:rsid w:val="009D7BF7"/>
    <w:rsid w:val="009E035E"/>
    <w:rsid w:val="009E0E53"/>
    <w:rsid w:val="009E13C6"/>
    <w:rsid w:val="009E16BF"/>
    <w:rsid w:val="009E191B"/>
    <w:rsid w:val="009E1B5F"/>
    <w:rsid w:val="009E2C32"/>
    <w:rsid w:val="009E2D69"/>
    <w:rsid w:val="009E3108"/>
    <w:rsid w:val="009E3125"/>
    <w:rsid w:val="009E33CB"/>
    <w:rsid w:val="009E350F"/>
    <w:rsid w:val="009E3DAF"/>
    <w:rsid w:val="009E524A"/>
    <w:rsid w:val="009E6399"/>
    <w:rsid w:val="009E64F6"/>
    <w:rsid w:val="009E65D7"/>
    <w:rsid w:val="009E6D5D"/>
    <w:rsid w:val="009E75A1"/>
    <w:rsid w:val="009E7709"/>
    <w:rsid w:val="009E7A0E"/>
    <w:rsid w:val="009E7FCF"/>
    <w:rsid w:val="009F00E5"/>
    <w:rsid w:val="009F199A"/>
    <w:rsid w:val="009F1AC6"/>
    <w:rsid w:val="009F2514"/>
    <w:rsid w:val="009F28B5"/>
    <w:rsid w:val="009F35D1"/>
    <w:rsid w:val="009F3935"/>
    <w:rsid w:val="009F3CED"/>
    <w:rsid w:val="009F41C5"/>
    <w:rsid w:val="009F4B05"/>
    <w:rsid w:val="009F4EBD"/>
    <w:rsid w:val="009F4F18"/>
    <w:rsid w:val="009F5512"/>
    <w:rsid w:val="009F55EF"/>
    <w:rsid w:val="009F57B8"/>
    <w:rsid w:val="009F5A17"/>
    <w:rsid w:val="009F661B"/>
    <w:rsid w:val="009F667C"/>
    <w:rsid w:val="009F698B"/>
    <w:rsid w:val="009F6DC4"/>
    <w:rsid w:val="009F7A25"/>
    <w:rsid w:val="009F7FF0"/>
    <w:rsid w:val="00A00495"/>
    <w:rsid w:val="00A00AA0"/>
    <w:rsid w:val="00A00DDA"/>
    <w:rsid w:val="00A01A06"/>
    <w:rsid w:val="00A01B13"/>
    <w:rsid w:val="00A01E8A"/>
    <w:rsid w:val="00A02145"/>
    <w:rsid w:val="00A03030"/>
    <w:rsid w:val="00A03A53"/>
    <w:rsid w:val="00A03A9B"/>
    <w:rsid w:val="00A03CE0"/>
    <w:rsid w:val="00A047AA"/>
    <w:rsid w:val="00A04A85"/>
    <w:rsid w:val="00A0543C"/>
    <w:rsid w:val="00A05F06"/>
    <w:rsid w:val="00A06ED4"/>
    <w:rsid w:val="00A0700D"/>
    <w:rsid w:val="00A07101"/>
    <w:rsid w:val="00A07290"/>
    <w:rsid w:val="00A07FE0"/>
    <w:rsid w:val="00A119C3"/>
    <w:rsid w:val="00A11E5B"/>
    <w:rsid w:val="00A11F15"/>
    <w:rsid w:val="00A11FD5"/>
    <w:rsid w:val="00A11FDD"/>
    <w:rsid w:val="00A12525"/>
    <w:rsid w:val="00A126E8"/>
    <w:rsid w:val="00A12709"/>
    <w:rsid w:val="00A12792"/>
    <w:rsid w:val="00A12CFB"/>
    <w:rsid w:val="00A1395F"/>
    <w:rsid w:val="00A14050"/>
    <w:rsid w:val="00A14907"/>
    <w:rsid w:val="00A14C72"/>
    <w:rsid w:val="00A14E37"/>
    <w:rsid w:val="00A14F06"/>
    <w:rsid w:val="00A14FCE"/>
    <w:rsid w:val="00A15340"/>
    <w:rsid w:val="00A15E14"/>
    <w:rsid w:val="00A162CB"/>
    <w:rsid w:val="00A16D0C"/>
    <w:rsid w:val="00A16FFA"/>
    <w:rsid w:val="00A1782E"/>
    <w:rsid w:val="00A179EF"/>
    <w:rsid w:val="00A20BB5"/>
    <w:rsid w:val="00A21A62"/>
    <w:rsid w:val="00A21B34"/>
    <w:rsid w:val="00A21E40"/>
    <w:rsid w:val="00A22C3A"/>
    <w:rsid w:val="00A23509"/>
    <w:rsid w:val="00A2393D"/>
    <w:rsid w:val="00A251D9"/>
    <w:rsid w:val="00A2607F"/>
    <w:rsid w:val="00A263DF"/>
    <w:rsid w:val="00A263F1"/>
    <w:rsid w:val="00A265AD"/>
    <w:rsid w:val="00A268B1"/>
    <w:rsid w:val="00A271D8"/>
    <w:rsid w:val="00A272C3"/>
    <w:rsid w:val="00A279C8"/>
    <w:rsid w:val="00A3053C"/>
    <w:rsid w:val="00A30B38"/>
    <w:rsid w:val="00A30B5F"/>
    <w:rsid w:val="00A31DE7"/>
    <w:rsid w:val="00A321C6"/>
    <w:rsid w:val="00A3350D"/>
    <w:rsid w:val="00A33B9B"/>
    <w:rsid w:val="00A34172"/>
    <w:rsid w:val="00A34F43"/>
    <w:rsid w:val="00A36277"/>
    <w:rsid w:val="00A3639B"/>
    <w:rsid w:val="00A36536"/>
    <w:rsid w:val="00A36DE7"/>
    <w:rsid w:val="00A37702"/>
    <w:rsid w:val="00A40929"/>
    <w:rsid w:val="00A40969"/>
    <w:rsid w:val="00A409D8"/>
    <w:rsid w:val="00A40B50"/>
    <w:rsid w:val="00A40D1C"/>
    <w:rsid w:val="00A40F9C"/>
    <w:rsid w:val="00A41B08"/>
    <w:rsid w:val="00A429F8"/>
    <w:rsid w:val="00A42DB7"/>
    <w:rsid w:val="00A42F21"/>
    <w:rsid w:val="00A433EF"/>
    <w:rsid w:val="00A4394F"/>
    <w:rsid w:val="00A43A74"/>
    <w:rsid w:val="00A43E20"/>
    <w:rsid w:val="00A44251"/>
    <w:rsid w:val="00A45073"/>
    <w:rsid w:val="00A4524A"/>
    <w:rsid w:val="00A456A3"/>
    <w:rsid w:val="00A46357"/>
    <w:rsid w:val="00A46C9C"/>
    <w:rsid w:val="00A50180"/>
    <w:rsid w:val="00A5103D"/>
    <w:rsid w:val="00A51B22"/>
    <w:rsid w:val="00A51E46"/>
    <w:rsid w:val="00A52F2F"/>
    <w:rsid w:val="00A5436F"/>
    <w:rsid w:val="00A54646"/>
    <w:rsid w:val="00A54808"/>
    <w:rsid w:val="00A54945"/>
    <w:rsid w:val="00A54AF4"/>
    <w:rsid w:val="00A5671B"/>
    <w:rsid w:val="00A57777"/>
    <w:rsid w:val="00A6126E"/>
    <w:rsid w:val="00A61791"/>
    <w:rsid w:val="00A61A68"/>
    <w:rsid w:val="00A6215C"/>
    <w:rsid w:val="00A6251F"/>
    <w:rsid w:val="00A63A91"/>
    <w:rsid w:val="00A63C2B"/>
    <w:rsid w:val="00A6410B"/>
    <w:rsid w:val="00A6528B"/>
    <w:rsid w:val="00A6537D"/>
    <w:rsid w:val="00A654BB"/>
    <w:rsid w:val="00A65629"/>
    <w:rsid w:val="00A65BEE"/>
    <w:rsid w:val="00A65C2F"/>
    <w:rsid w:val="00A66220"/>
    <w:rsid w:val="00A672EA"/>
    <w:rsid w:val="00A678DA"/>
    <w:rsid w:val="00A705FD"/>
    <w:rsid w:val="00A70D74"/>
    <w:rsid w:val="00A7151B"/>
    <w:rsid w:val="00A71708"/>
    <w:rsid w:val="00A71E7E"/>
    <w:rsid w:val="00A71F26"/>
    <w:rsid w:val="00A72C08"/>
    <w:rsid w:val="00A72D2B"/>
    <w:rsid w:val="00A72EA6"/>
    <w:rsid w:val="00A73B09"/>
    <w:rsid w:val="00A73F6B"/>
    <w:rsid w:val="00A73FC1"/>
    <w:rsid w:val="00A73FFD"/>
    <w:rsid w:val="00A7470A"/>
    <w:rsid w:val="00A749D8"/>
    <w:rsid w:val="00A74A8E"/>
    <w:rsid w:val="00A74C3E"/>
    <w:rsid w:val="00A74FD8"/>
    <w:rsid w:val="00A7517A"/>
    <w:rsid w:val="00A75EA5"/>
    <w:rsid w:val="00A76239"/>
    <w:rsid w:val="00A76B04"/>
    <w:rsid w:val="00A776CD"/>
    <w:rsid w:val="00A8034C"/>
    <w:rsid w:val="00A8046F"/>
    <w:rsid w:val="00A808E8"/>
    <w:rsid w:val="00A816D5"/>
    <w:rsid w:val="00A81918"/>
    <w:rsid w:val="00A82225"/>
    <w:rsid w:val="00A82964"/>
    <w:rsid w:val="00A83284"/>
    <w:rsid w:val="00A84184"/>
    <w:rsid w:val="00A849F5"/>
    <w:rsid w:val="00A84DBA"/>
    <w:rsid w:val="00A84E74"/>
    <w:rsid w:val="00A8530E"/>
    <w:rsid w:val="00A8560C"/>
    <w:rsid w:val="00A85CB0"/>
    <w:rsid w:val="00A85CDA"/>
    <w:rsid w:val="00A85E0E"/>
    <w:rsid w:val="00A8659C"/>
    <w:rsid w:val="00A8662F"/>
    <w:rsid w:val="00A87A5A"/>
    <w:rsid w:val="00A87B98"/>
    <w:rsid w:val="00A87E7C"/>
    <w:rsid w:val="00A902CD"/>
    <w:rsid w:val="00A90640"/>
    <w:rsid w:val="00A90ABE"/>
    <w:rsid w:val="00A91276"/>
    <w:rsid w:val="00A9176C"/>
    <w:rsid w:val="00A91BD8"/>
    <w:rsid w:val="00A91F30"/>
    <w:rsid w:val="00A92194"/>
    <w:rsid w:val="00A92EDC"/>
    <w:rsid w:val="00A92FEE"/>
    <w:rsid w:val="00A93CA4"/>
    <w:rsid w:val="00A9439B"/>
    <w:rsid w:val="00A94570"/>
    <w:rsid w:val="00A9460F"/>
    <w:rsid w:val="00A95A34"/>
    <w:rsid w:val="00A9709A"/>
    <w:rsid w:val="00A9794C"/>
    <w:rsid w:val="00AA056D"/>
    <w:rsid w:val="00AA0C65"/>
    <w:rsid w:val="00AA1857"/>
    <w:rsid w:val="00AA1A72"/>
    <w:rsid w:val="00AA1E2B"/>
    <w:rsid w:val="00AA2104"/>
    <w:rsid w:val="00AA30D3"/>
    <w:rsid w:val="00AA30F3"/>
    <w:rsid w:val="00AA3EB7"/>
    <w:rsid w:val="00AA3F83"/>
    <w:rsid w:val="00AA4736"/>
    <w:rsid w:val="00AA4788"/>
    <w:rsid w:val="00AA5193"/>
    <w:rsid w:val="00AA555E"/>
    <w:rsid w:val="00AA679C"/>
    <w:rsid w:val="00AA72EF"/>
    <w:rsid w:val="00AA7A44"/>
    <w:rsid w:val="00AA7AAC"/>
    <w:rsid w:val="00AA7D71"/>
    <w:rsid w:val="00AB012C"/>
    <w:rsid w:val="00AB1B6D"/>
    <w:rsid w:val="00AB20DC"/>
    <w:rsid w:val="00AB3FCF"/>
    <w:rsid w:val="00AB4395"/>
    <w:rsid w:val="00AB46BB"/>
    <w:rsid w:val="00AB4810"/>
    <w:rsid w:val="00AB4998"/>
    <w:rsid w:val="00AB4F21"/>
    <w:rsid w:val="00AB52FA"/>
    <w:rsid w:val="00AB5590"/>
    <w:rsid w:val="00AB64E9"/>
    <w:rsid w:val="00AB68C8"/>
    <w:rsid w:val="00AB6F66"/>
    <w:rsid w:val="00AB71BA"/>
    <w:rsid w:val="00AB7202"/>
    <w:rsid w:val="00AB76DC"/>
    <w:rsid w:val="00AB781E"/>
    <w:rsid w:val="00AB797E"/>
    <w:rsid w:val="00AC020A"/>
    <w:rsid w:val="00AC0291"/>
    <w:rsid w:val="00AC03E2"/>
    <w:rsid w:val="00AC1125"/>
    <w:rsid w:val="00AC141B"/>
    <w:rsid w:val="00AC1B26"/>
    <w:rsid w:val="00AC1B6E"/>
    <w:rsid w:val="00AC2390"/>
    <w:rsid w:val="00AC24C9"/>
    <w:rsid w:val="00AC2977"/>
    <w:rsid w:val="00AC29F2"/>
    <w:rsid w:val="00AC2EE0"/>
    <w:rsid w:val="00AC3C5D"/>
    <w:rsid w:val="00AC4080"/>
    <w:rsid w:val="00AC4198"/>
    <w:rsid w:val="00AC4541"/>
    <w:rsid w:val="00AC4B03"/>
    <w:rsid w:val="00AC56E6"/>
    <w:rsid w:val="00AC5E98"/>
    <w:rsid w:val="00AC63FF"/>
    <w:rsid w:val="00AC6A45"/>
    <w:rsid w:val="00AC6B1A"/>
    <w:rsid w:val="00AC783C"/>
    <w:rsid w:val="00AC796F"/>
    <w:rsid w:val="00AC7C81"/>
    <w:rsid w:val="00AC7EAE"/>
    <w:rsid w:val="00AD04F9"/>
    <w:rsid w:val="00AD06DF"/>
    <w:rsid w:val="00AD07CA"/>
    <w:rsid w:val="00AD097A"/>
    <w:rsid w:val="00AD0A19"/>
    <w:rsid w:val="00AD15FA"/>
    <w:rsid w:val="00AD1B59"/>
    <w:rsid w:val="00AD2044"/>
    <w:rsid w:val="00AD2A1A"/>
    <w:rsid w:val="00AD2FD1"/>
    <w:rsid w:val="00AD3766"/>
    <w:rsid w:val="00AD4ED4"/>
    <w:rsid w:val="00AD59CB"/>
    <w:rsid w:val="00AD5F99"/>
    <w:rsid w:val="00AD6A79"/>
    <w:rsid w:val="00AD6F73"/>
    <w:rsid w:val="00AD717F"/>
    <w:rsid w:val="00AD7208"/>
    <w:rsid w:val="00AD737D"/>
    <w:rsid w:val="00AD74EE"/>
    <w:rsid w:val="00AD7F60"/>
    <w:rsid w:val="00AE04B4"/>
    <w:rsid w:val="00AE1DCD"/>
    <w:rsid w:val="00AE1F0D"/>
    <w:rsid w:val="00AE225B"/>
    <w:rsid w:val="00AE2709"/>
    <w:rsid w:val="00AE27F3"/>
    <w:rsid w:val="00AE2AD2"/>
    <w:rsid w:val="00AE36AC"/>
    <w:rsid w:val="00AE3B43"/>
    <w:rsid w:val="00AE3D7F"/>
    <w:rsid w:val="00AE439C"/>
    <w:rsid w:val="00AE4B59"/>
    <w:rsid w:val="00AE5C74"/>
    <w:rsid w:val="00AE609A"/>
    <w:rsid w:val="00AE6710"/>
    <w:rsid w:val="00AE684F"/>
    <w:rsid w:val="00AE68B2"/>
    <w:rsid w:val="00AE7674"/>
    <w:rsid w:val="00AE7A82"/>
    <w:rsid w:val="00AF0844"/>
    <w:rsid w:val="00AF10B2"/>
    <w:rsid w:val="00AF12C0"/>
    <w:rsid w:val="00AF1B23"/>
    <w:rsid w:val="00AF1E55"/>
    <w:rsid w:val="00AF228A"/>
    <w:rsid w:val="00AF2524"/>
    <w:rsid w:val="00AF260B"/>
    <w:rsid w:val="00AF28A5"/>
    <w:rsid w:val="00AF345B"/>
    <w:rsid w:val="00AF34B9"/>
    <w:rsid w:val="00AF3987"/>
    <w:rsid w:val="00AF43E0"/>
    <w:rsid w:val="00AF47DF"/>
    <w:rsid w:val="00AF4957"/>
    <w:rsid w:val="00AF5C2E"/>
    <w:rsid w:val="00AF664C"/>
    <w:rsid w:val="00AF700F"/>
    <w:rsid w:val="00AF716F"/>
    <w:rsid w:val="00AF759C"/>
    <w:rsid w:val="00AF7C8B"/>
    <w:rsid w:val="00AF7D8A"/>
    <w:rsid w:val="00B00491"/>
    <w:rsid w:val="00B008D4"/>
    <w:rsid w:val="00B00F0C"/>
    <w:rsid w:val="00B00FB5"/>
    <w:rsid w:val="00B01794"/>
    <w:rsid w:val="00B01A77"/>
    <w:rsid w:val="00B01FBC"/>
    <w:rsid w:val="00B03C64"/>
    <w:rsid w:val="00B03D63"/>
    <w:rsid w:val="00B03EF6"/>
    <w:rsid w:val="00B0406F"/>
    <w:rsid w:val="00B04140"/>
    <w:rsid w:val="00B04357"/>
    <w:rsid w:val="00B04BB4"/>
    <w:rsid w:val="00B04BB6"/>
    <w:rsid w:val="00B05320"/>
    <w:rsid w:val="00B057BF"/>
    <w:rsid w:val="00B06C5F"/>
    <w:rsid w:val="00B101F2"/>
    <w:rsid w:val="00B112D0"/>
    <w:rsid w:val="00B1163E"/>
    <w:rsid w:val="00B1179E"/>
    <w:rsid w:val="00B117B2"/>
    <w:rsid w:val="00B11AEB"/>
    <w:rsid w:val="00B11DBF"/>
    <w:rsid w:val="00B1282A"/>
    <w:rsid w:val="00B12F23"/>
    <w:rsid w:val="00B13ABB"/>
    <w:rsid w:val="00B13C05"/>
    <w:rsid w:val="00B13DD3"/>
    <w:rsid w:val="00B1410D"/>
    <w:rsid w:val="00B14971"/>
    <w:rsid w:val="00B14D3C"/>
    <w:rsid w:val="00B154C5"/>
    <w:rsid w:val="00B15610"/>
    <w:rsid w:val="00B158BB"/>
    <w:rsid w:val="00B15FA6"/>
    <w:rsid w:val="00B16522"/>
    <w:rsid w:val="00B20C65"/>
    <w:rsid w:val="00B21567"/>
    <w:rsid w:val="00B2183F"/>
    <w:rsid w:val="00B21DF6"/>
    <w:rsid w:val="00B21E31"/>
    <w:rsid w:val="00B220D2"/>
    <w:rsid w:val="00B2214A"/>
    <w:rsid w:val="00B221E5"/>
    <w:rsid w:val="00B22708"/>
    <w:rsid w:val="00B22801"/>
    <w:rsid w:val="00B229A3"/>
    <w:rsid w:val="00B2374C"/>
    <w:rsid w:val="00B23A7F"/>
    <w:rsid w:val="00B242BE"/>
    <w:rsid w:val="00B24305"/>
    <w:rsid w:val="00B24525"/>
    <w:rsid w:val="00B251A5"/>
    <w:rsid w:val="00B2580A"/>
    <w:rsid w:val="00B25A3D"/>
    <w:rsid w:val="00B25CE9"/>
    <w:rsid w:val="00B2677A"/>
    <w:rsid w:val="00B27487"/>
    <w:rsid w:val="00B27935"/>
    <w:rsid w:val="00B27F54"/>
    <w:rsid w:val="00B3029C"/>
    <w:rsid w:val="00B30D24"/>
    <w:rsid w:val="00B31815"/>
    <w:rsid w:val="00B31834"/>
    <w:rsid w:val="00B318B1"/>
    <w:rsid w:val="00B319D2"/>
    <w:rsid w:val="00B31B5B"/>
    <w:rsid w:val="00B32450"/>
    <w:rsid w:val="00B327FE"/>
    <w:rsid w:val="00B337E4"/>
    <w:rsid w:val="00B33D5D"/>
    <w:rsid w:val="00B33F9D"/>
    <w:rsid w:val="00B34973"/>
    <w:rsid w:val="00B34F6F"/>
    <w:rsid w:val="00B35039"/>
    <w:rsid w:val="00B35827"/>
    <w:rsid w:val="00B3697B"/>
    <w:rsid w:val="00B36BF5"/>
    <w:rsid w:val="00B37702"/>
    <w:rsid w:val="00B37867"/>
    <w:rsid w:val="00B37D12"/>
    <w:rsid w:val="00B40084"/>
    <w:rsid w:val="00B40F5A"/>
    <w:rsid w:val="00B4119E"/>
    <w:rsid w:val="00B41814"/>
    <w:rsid w:val="00B4246C"/>
    <w:rsid w:val="00B42C5C"/>
    <w:rsid w:val="00B42CEB"/>
    <w:rsid w:val="00B42E78"/>
    <w:rsid w:val="00B4336A"/>
    <w:rsid w:val="00B43A10"/>
    <w:rsid w:val="00B44692"/>
    <w:rsid w:val="00B44BF6"/>
    <w:rsid w:val="00B459C6"/>
    <w:rsid w:val="00B46C5E"/>
    <w:rsid w:val="00B5030F"/>
    <w:rsid w:val="00B506E0"/>
    <w:rsid w:val="00B5082A"/>
    <w:rsid w:val="00B5123D"/>
    <w:rsid w:val="00B513CC"/>
    <w:rsid w:val="00B515FD"/>
    <w:rsid w:val="00B516B4"/>
    <w:rsid w:val="00B51B29"/>
    <w:rsid w:val="00B524D9"/>
    <w:rsid w:val="00B527B4"/>
    <w:rsid w:val="00B53278"/>
    <w:rsid w:val="00B54AE5"/>
    <w:rsid w:val="00B54F55"/>
    <w:rsid w:val="00B55882"/>
    <w:rsid w:val="00B55AB2"/>
    <w:rsid w:val="00B563B4"/>
    <w:rsid w:val="00B56430"/>
    <w:rsid w:val="00B5654B"/>
    <w:rsid w:val="00B56C75"/>
    <w:rsid w:val="00B57177"/>
    <w:rsid w:val="00B60499"/>
    <w:rsid w:val="00B612F7"/>
    <w:rsid w:val="00B614AF"/>
    <w:rsid w:val="00B617D0"/>
    <w:rsid w:val="00B62089"/>
    <w:rsid w:val="00B626ED"/>
    <w:rsid w:val="00B63B79"/>
    <w:rsid w:val="00B63F37"/>
    <w:rsid w:val="00B640D1"/>
    <w:rsid w:val="00B648D1"/>
    <w:rsid w:val="00B665E8"/>
    <w:rsid w:val="00B66992"/>
    <w:rsid w:val="00B66F28"/>
    <w:rsid w:val="00B678B6"/>
    <w:rsid w:val="00B67E16"/>
    <w:rsid w:val="00B7000D"/>
    <w:rsid w:val="00B7004F"/>
    <w:rsid w:val="00B701DB"/>
    <w:rsid w:val="00B702CF"/>
    <w:rsid w:val="00B7064A"/>
    <w:rsid w:val="00B70A72"/>
    <w:rsid w:val="00B70DCA"/>
    <w:rsid w:val="00B7184D"/>
    <w:rsid w:val="00B72A9B"/>
    <w:rsid w:val="00B72F78"/>
    <w:rsid w:val="00B731D8"/>
    <w:rsid w:val="00B7333A"/>
    <w:rsid w:val="00B73419"/>
    <w:rsid w:val="00B7356D"/>
    <w:rsid w:val="00B7367A"/>
    <w:rsid w:val="00B73E60"/>
    <w:rsid w:val="00B7430E"/>
    <w:rsid w:val="00B749F7"/>
    <w:rsid w:val="00B75EBF"/>
    <w:rsid w:val="00B76005"/>
    <w:rsid w:val="00B760A9"/>
    <w:rsid w:val="00B7663A"/>
    <w:rsid w:val="00B7683D"/>
    <w:rsid w:val="00B76C89"/>
    <w:rsid w:val="00B805C6"/>
    <w:rsid w:val="00B80C3E"/>
    <w:rsid w:val="00B816AA"/>
    <w:rsid w:val="00B81E6B"/>
    <w:rsid w:val="00B82420"/>
    <w:rsid w:val="00B82768"/>
    <w:rsid w:val="00B83172"/>
    <w:rsid w:val="00B83F25"/>
    <w:rsid w:val="00B84101"/>
    <w:rsid w:val="00B8444C"/>
    <w:rsid w:val="00B84784"/>
    <w:rsid w:val="00B85AEF"/>
    <w:rsid w:val="00B85E77"/>
    <w:rsid w:val="00B86541"/>
    <w:rsid w:val="00B8756C"/>
    <w:rsid w:val="00B878F2"/>
    <w:rsid w:val="00B87D3F"/>
    <w:rsid w:val="00B90D80"/>
    <w:rsid w:val="00B91452"/>
    <w:rsid w:val="00B91A27"/>
    <w:rsid w:val="00B91FEB"/>
    <w:rsid w:val="00B92224"/>
    <w:rsid w:val="00B92466"/>
    <w:rsid w:val="00B92790"/>
    <w:rsid w:val="00B92CB6"/>
    <w:rsid w:val="00B931D3"/>
    <w:rsid w:val="00B93506"/>
    <w:rsid w:val="00B93579"/>
    <w:rsid w:val="00B940F3"/>
    <w:rsid w:val="00B94178"/>
    <w:rsid w:val="00B94ADC"/>
    <w:rsid w:val="00B94B7B"/>
    <w:rsid w:val="00B94CE4"/>
    <w:rsid w:val="00B952BB"/>
    <w:rsid w:val="00B95C6C"/>
    <w:rsid w:val="00B96744"/>
    <w:rsid w:val="00B970D5"/>
    <w:rsid w:val="00B9731D"/>
    <w:rsid w:val="00B9760C"/>
    <w:rsid w:val="00B97DDB"/>
    <w:rsid w:val="00BA0294"/>
    <w:rsid w:val="00BA1BF1"/>
    <w:rsid w:val="00BA260A"/>
    <w:rsid w:val="00BA2DEA"/>
    <w:rsid w:val="00BA31A1"/>
    <w:rsid w:val="00BA31B9"/>
    <w:rsid w:val="00BA4F57"/>
    <w:rsid w:val="00BA590F"/>
    <w:rsid w:val="00BA5BA9"/>
    <w:rsid w:val="00BA5DBD"/>
    <w:rsid w:val="00BA5DED"/>
    <w:rsid w:val="00BA5E45"/>
    <w:rsid w:val="00BA6048"/>
    <w:rsid w:val="00BA6055"/>
    <w:rsid w:val="00BA63E4"/>
    <w:rsid w:val="00BA6BC8"/>
    <w:rsid w:val="00BA753C"/>
    <w:rsid w:val="00BA75C2"/>
    <w:rsid w:val="00BA7845"/>
    <w:rsid w:val="00BA7BB5"/>
    <w:rsid w:val="00BB093A"/>
    <w:rsid w:val="00BB1480"/>
    <w:rsid w:val="00BB148B"/>
    <w:rsid w:val="00BB1623"/>
    <w:rsid w:val="00BB1D4E"/>
    <w:rsid w:val="00BB2CE6"/>
    <w:rsid w:val="00BB30FA"/>
    <w:rsid w:val="00BB39F4"/>
    <w:rsid w:val="00BB3ED7"/>
    <w:rsid w:val="00BB3F44"/>
    <w:rsid w:val="00BB4121"/>
    <w:rsid w:val="00BB4BB0"/>
    <w:rsid w:val="00BB4EB1"/>
    <w:rsid w:val="00BB50FB"/>
    <w:rsid w:val="00BB5252"/>
    <w:rsid w:val="00BB5868"/>
    <w:rsid w:val="00BB5A8F"/>
    <w:rsid w:val="00BB6686"/>
    <w:rsid w:val="00BB68C9"/>
    <w:rsid w:val="00BB7235"/>
    <w:rsid w:val="00BB725D"/>
    <w:rsid w:val="00BB73F2"/>
    <w:rsid w:val="00BB779B"/>
    <w:rsid w:val="00BB7BEC"/>
    <w:rsid w:val="00BC05C5"/>
    <w:rsid w:val="00BC114E"/>
    <w:rsid w:val="00BC1341"/>
    <w:rsid w:val="00BC155E"/>
    <w:rsid w:val="00BC1808"/>
    <w:rsid w:val="00BC23E2"/>
    <w:rsid w:val="00BC2E0A"/>
    <w:rsid w:val="00BC2EBD"/>
    <w:rsid w:val="00BC2EDB"/>
    <w:rsid w:val="00BC363B"/>
    <w:rsid w:val="00BC37BE"/>
    <w:rsid w:val="00BC395F"/>
    <w:rsid w:val="00BC47D3"/>
    <w:rsid w:val="00BC4F60"/>
    <w:rsid w:val="00BC50BA"/>
    <w:rsid w:val="00BC53CD"/>
    <w:rsid w:val="00BC5E45"/>
    <w:rsid w:val="00BC604F"/>
    <w:rsid w:val="00BC6591"/>
    <w:rsid w:val="00BC69DF"/>
    <w:rsid w:val="00BC73AB"/>
    <w:rsid w:val="00BD0096"/>
    <w:rsid w:val="00BD03CE"/>
    <w:rsid w:val="00BD03D8"/>
    <w:rsid w:val="00BD042B"/>
    <w:rsid w:val="00BD06BD"/>
    <w:rsid w:val="00BD1E1E"/>
    <w:rsid w:val="00BD21A4"/>
    <w:rsid w:val="00BD237E"/>
    <w:rsid w:val="00BD2458"/>
    <w:rsid w:val="00BD2A27"/>
    <w:rsid w:val="00BD2ADE"/>
    <w:rsid w:val="00BD2B0F"/>
    <w:rsid w:val="00BD2C21"/>
    <w:rsid w:val="00BD3183"/>
    <w:rsid w:val="00BD32FE"/>
    <w:rsid w:val="00BD3FDF"/>
    <w:rsid w:val="00BD4788"/>
    <w:rsid w:val="00BD4F10"/>
    <w:rsid w:val="00BD5277"/>
    <w:rsid w:val="00BD5333"/>
    <w:rsid w:val="00BD5A7E"/>
    <w:rsid w:val="00BD6E75"/>
    <w:rsid w:val="00BD71BA"/>
    <w:rsid w:val="00BD76B9"/>
    <w:rsid w:val="00BD7C54"/>
    <w:rsid w:val="00BE013F"/>
    <w:rsid w:val="00BE1462"/>
    <w:rsid w:val="00BE17B1"/>
    <w:rsid w:val="00BE1D44"/>
    <w:rsid w:val="00BE27A1"/>
    <w:rsid w:val="00BE52CD"/>
    <w:rsid w:val="00BE531D"/>
    <w:rsid w:val="00BE54A5"/>
    <w:rsid w:val="00BE6316"/>
    <w:rsid w:val="00BE64DB"/>
    <w:rsid w:val="00BE64F2"/>
    <w:rsid w:val="00BE6C16"/>
    <w:rsid w:val="00BE6CA1"/>
    <w:rsid w:val="00BE74FA"/>
    <w:rsid w:val="00BE7795"/>
    <w:rsid w:val="00BF076C"/>
    <w:rsid w:val="00BF0FA1"/>
    <w:rsid w:val="00BF13DD"/>
    <w:rsid w:val="00BF13E2"/>
    <w:rsid w:val="00BF1576"/>
    <w:rsid w:val="00BF1801"/>
    <w:rsid w:val="00BF1FE5"/>
    <w:rsid w:val="00BF2447"/>
    <w:rsid w:val="00BF2524"/>
    <w:rsid w:val="00BF26CB"/>
    <w:rsid w:val="00BF29B1"/>
    <w:rsid w:val="00BF2A1A"/>
    <w:rsid w:val="00BF2EB8"/>
    <w:rsid w:val="00BF35A7"/>
    <w:rsid w:val="00BF3672"/>
    <w:rsid w:val="00BF3830"/>
    <w:rsid w:val="00BF3B19"/>
    <w:rsid w:val="00BF3C76"/>
    <w:rsid w:val="00BF3F0B"/>
    <w:rsid w:val="00BF44AE"/>
    <w:rsid w:val="00BF4DFD"/>
    <w:rsid w:val="00BF577F"/>
    <w:rsid w:val="00BF6D1C"/>
    <w:rsid w:val="00BF7A8E"/>
    <w:rsid w:val="00C01436"/>
    <w:rsid w:val="00C01BED"/>
    <w:rsid w:val="00C01FB4"/>
    <w:rsid w:val="00C03226"/>
    <w:rsid w:val="00C0351E"/>
    <w:rsid w:val="00C03A86"/>
    <w:rsid w:val="00C041AF"/>
    <w:rsid w:val="00C0422A"/>
    <w:rsid w:val="00C048AD"/>
    <w:rsid w:val="00C04CDF"/>
    <w:rsid w:val="00C04DC3"/>
    <w:rsid w:val="00C05754"/>
    <w:rsid w:val="00C057C1"/>
    <w:rsid w:val="00C059AC"/>
    <w:rsid w:val="00C059D5"/>
    <w:rsid w:val="00C05E4D"/>
    <w:rsid w:val="00C05F12"/>
    <w:rsid w:val="00C065F5"/>
    <w:rsid w:val="00C066FC"/>
    <w:rsid w:val="00C06715"/>
    <w:rsid w:val="00C06B48"/>
    <w:rsid w:val="00C073DC"/>
    <w:rsid w:val="00C10613"/>
    <w:rsid w:val="00C11A63"/>
    <w:rsid w:val="00C11AA2"/>
    <w:rsid w:val="00C120BE"/>
    <w:rsid w:val="00C1258D"/>
    <w:rsid w:val="00C12A85"/>
    <w:rsid w:val="00C12DD9"/>
    <w:rsid w:val="00C13D1D"/>
    <w:rsid w:val="00C143C5"/>
    <w:rsid w:val="00C151BB"/>
    <w:rsid w:val="00C15373"/>
    <w:rsid w:val="00C15A3C"/>
    <w:rsid w:val="00C15BA9"/>
    <w:rsid w:val="00C15CA2"/>
    <w:rsid w:val="00C15FAF"/>
    <w:rsid w:val="00C161F6"/>
    <w:rsid w:val="00C162AA"/>
    <w:rsid w:val="00C166FB"/>
    <w:rsid w:val="00C16910"/>
    <w:rsid w:val="00C17651"/>
    <w:rsid w:val="00C17FEF"/>
    <w:rsid w:val="00C210A3"/>
    <w:rsid w:val="00C21E18"/>
    <w:rsid w:val="00C22756"/>
    <w:rsid w:val="00C227B1"/>
    <w:rsid w:val="00C22825"/>
    <w:rsid w:val="00C22872"/>
    <w:rsid w:val="00C22A0E"/>
    <w:rsid w:val="00C22C35"/>
    <w:rsid w:val="00C23623"/>
    <w:rsid w:val="00C2374C"/>
    <w:rsid w:val="00C24029"/>
    <w:rsid w:val="00C243AE"/>
    <w:rsid w:val="00C24891"/>
    <w:rsid w:val="00C25943"/>
    <w:rsid w:val="00C25E0C"/>
    <w:rsid w:val="00C2699B"/>
    <w:rsid w:val="00C269C9"/>
    <w:rsid w:val="00C26A7D"/>
    <w:rsid w:val="00C26BE7"/>
    <w:rsid w:val="00C26E27"/>
    <w:rsid w:val="00C26FEF"/>
    <w:rsid w:val="00C276BC"/>
    <w:rsid w:val="00C30E14"/>
    <w:rsid w:val="00C310F4"/>
    <w:rsid w:val="00C31262"/>
    <w:rsid w:val="00C31B3A"/>
    <w:rsid w:val="00C32158"/>
    <w:rsid w:val="00C32252"/>
    <w:rsid w:val="00C326B4"/>
    <w:rsid w:val="00C32CAB"/>
    <w:rsid w:val="00C3317B"/>
    <w:rsid w:val="00C33288"/>
    <w:rsid w:val="00C3399E"/>
    <w:rsid w:val="00C33D6A"/>
    <w:rsid w:val="00C33F56"/>
    <w:rsid w:val="00C34947"/>
    <w:rsid w:val="00C349B3"/>
    <w:rsid w:val="00C34E1A"/>
    <w:rsid w:val="00C35208"/>
    <w:rsid w:val="00C356DF"/>
    <w:rsid w:val="00C36074"/>
    <w:rsid w:val="00C3636E"/>
    <w:rsid w:val="00C36B63"/>
    <w:rsid w:val="00C36C62"/>
    <w:rsid w:val="00C374F5"/>
    <w:rsid w:val="00C3793E"/>
    <w:rsid w:val="00C37CE8"/>
    <w:rsid w:val="00C37DD7"/>
    <w:rsid w:val="00C4001B"/>
    <w:rsid w:val="00C40570"/>
    <w:rsid w:val="00C40657"/>
    <w:rsid w:val="00C40BC9"/>
    <w:rsid w:val="00C41005"/>
    <w:rsid w:val="00C4125F"/>
    <w:rsid w:val="00C420BE"/>
    <w:rsid w:val="00C42F86"/>
    <w:rsid w:val="00C43146"/>
    <w:rsid w:val="00C43773"/>
    <w:rsid w:val="00C43D78"/>
    <w:rsid w:val="00C44115"/>
    <w:rsid w:val="00C4559A"/>
    <w:rsid w:val="00C45C99"/>
    <w:rsid w:val="00C46433"/>
    <w:rsid w:val="00C46627"/>
    <w:rsid w:val="00C46706"/>
    <w:rsid w:val="00C46DB4"/>
    <w:rsid w:val="00C46E9D"/>
    <w:rsid w:val="00C47BC7"/>
    <w:rsid w:val="00C47FFC"/>
    <w:rsid w:val="00C50008"/>
    <w:rsid w:val="00C503A8"/>
    <w:rsid w:val="00C51250"/>
    <w:rsid w:val="00C518BA"/>
    <w:rsid w:val="00C5223C"/>
    <w:rsid w:val="00C52B70"/>
    <w:rsid w:val="00C52C9E"/>
    <w:rsid w:val="00C531FF"/>
    <w:rsid w:val="00C5378F"/>
    <w:rsid w:val="00C53D04"/>
    <w:rsid w:val="00C54372"/>
    <w:rsid w:val="00C54586"/>
    <w:rsid w:val="00C54B8E"/>
    <w:rsid w:val="00C559C5"/>
    <w:rsid w:val="00C55DA1"/>
    <w:rsid w:val="00C55EB1"/>
    <w:rsid w:val="00C5638D"/>
    <w:rsid w:val="00C569BB"/>
    <w:rsid w:val="00C56F53"/>
    <w:rsid w:val="00C57394"/>
    <w:rsid w:val="00C57A44"/>
    <w:rsid w:val="00C57F18"/>
    <w:rsid w:val="00C6059D"/>
    <w:rsid w:val="00C61049"/>
    <w:rsid w:val="00C6115F"/>
    <w:rsid w:val="00C61226"/>
    <w:rsid w:val="00C6202F"/>
    <w:rsid w:val="00C62542"/>
    <w:rsid w:val="00C62D05"/>
    <w:rsid w:val="00C6302F"/>
    <w:rsid w:val="00C632E2"/>
    <w:rsid w:val="00C64C67"/>
    <w:rsid w:val="00C657D0"/>
    <w:rsid w:val="00C65A4F"/>
    <w:rsid w:val="00C65BB3"/>
    <w:rsid w:val="00C66822"/>
    <w:rsid w:val="00C66F28"/>
    <w:rsid w:val="00C672B1"/>
    <w:rsid w:val="00C67FA5"/>
    <w:rsid w:val="00C700A0"/>
    <w:rsid w:val="00C70609"/>
    <w:rsid w:val="00C70714"/>
    <w:rsid w:val="00C70794"/>
    <w:rsid w:val="00C70883"/>
    <w:rsid w:val="00C708E0"/>
    <w:rsid w:val="00C71880"/>
    <w:rsid w:val="00C71911"/>
    <w:rsid w:val="00C71C65"/>
    <w:rsid w:val="00C726FF"/>
    <w:rsid w:val="00C72923"/>
    <w:rsid w:val="00C72C51"/>
    <w:rsid w:val="00C72FEA"/>
    <w:rsid w:val="00C73BFE"/>
    <w:rsid w:val="00C73C88"/>
    <w:rsid w:val="00C73D02"/>
    <w:rsid w:val="00C73E32"/>
    <w:rsid w:val="00C75397"/>
    <w:rsid w:val="00C75723"/>
    <w:rsid w:val="00C7594F"/>
    <w:rsid w:val="00C759B6"/>
    <w:rsid w:val="00C75ADF"/>
    <w:rsid w:val="00C75B5C"/>
    <w:rsid w:val="00C76683"/>
    <w:rsid w:val="00C775B0"/>
    <w:rsid w:val="00C777DE"/>
    <w:rsid w:val="00C77AC4"/>
    <w:rsid w:val="00C77D46"/>
    <w:rsid w:val="00C77FA3"/>
    <w:rsid w:val="00C77FBA"/>
    <w:rsid w:val="00C80121"/>
    <w:rsid w:val="00C804AE"/>
    <w:rsid w:val="00C804FE"/>
    <w:rsid w:val="00C812B4"/>
    <w:rsid w:val="00C8150E"/>
    <w:rsid w:val="00C815CF"/>
    <w:rsid w:val="00C81BE8"/>
    <w:rsid w:val="00C8203D"/>
    <w:rsid w:val="00C82217"/>
    <w:rsid w:val="00C8274D"/>
    <w:rsid w:val="00C836AA"/>
    <w:rsid w:val="00C83F66"/>
    <w:rsid w:val="00C8479D"/>
    <w:rsid w:val="00C84BD4"/>
    <w:rsid w:val="00C84DC9"/>
    <w:rsid w:val="00C85911"/>
    <w:rsid w:val="00C85A05"/>
    <w:rsid w:val="00C85AA6"/>
    <w:rsid w:val="00C86B42"/>
    <w:rsid w:val="00C86BD3"/>
    <w:rsid w:val="00C87007"/>
    <w:rsid w:val="00C87891"/>
    <w:rsid w:val="00C87DF9"/>
    <w:rsid w:val="00C90703"/>
    <w:rsid w:val="00C90948"/>
    <w:rsid w:val="00C90EDB"/>
    <w:rsid w:val="00C913D4"/>
    <w:rsid w:val="00C91AC2"/>
    <w:rsid w:val="00C9225C"/>
    <w:rsid w:val="00C92354"/>
    <w:rsid w:val="00C927BE"/>
    <w:rsid w:val="00C92E4C"/>
    <w:rsid w:val="00C93731"/>
    <w:rsid w:val="00C9484A"/>
    <w:rsid w:val="00C94B22"/>
    <w:rsid w:val="00C94CD2"/>
    <w:rsid w:val="00C9565A"/>
    <w:rsid w:val="00C9567B"/>
    <w:rsid w:val="00C95C5C"/>
    <w:rsid w:val="00C95EB1"/>
    <w:rsid w:val="00C96778"/>
    <w:rsid w:val="00C9687A"/>
    <w:rsid w:val="00C96FA7"/>
    <w:rsid w:val="00C9700F"/>
    <w:rsid w:val="00C9772B"/>
    <w:rsid w:val="00CA0199"/>
    <w:rsid w:val="00CA082E"/>
    <w:rsid w:val="00CA1B97"/>
    <w:rsid w:val="00CA212F"/>
    <w:rsid w:val="00CA220A"/>
    <w:rsid w:val="00CA2B94"/>
    <w:rsid w:val="00CA2C44"/>
    <w:rsid w:val="00CA2F25"/>
    <w:rsid w:val="00CA31FE"/>
    <w:rsid w:val="00CA359D"/>
    <w:rsid w:val="00CA36C4"/>
    <w:rsid w:val="00CA3AD4"/>
    <w:rsid w:val="00CA4078"/>
    <w:rsid w:val="00CA42EB"/>
    <w:rsid w:val="00CA4697"/>
    <w:rsid w:val="00CA4FA1"/>
    <w:rsid w:val="00CA5385"/>
    <w:rsid w:val="00CA5B5B"/>
    <w:rsid w:val="00CA66AF"/>
    <w:rsid w:val="00CA6ED1"/>
    <w:rsid w:val="00CA736D"/>
    <w:rsid w:val="00CA7509"/>
    <w:rsid w:val="00CB012C"/>
    <w:rsid w:val="00CB086D"/>
    <w:rsid w:val="00CB100F"/>
    <w:rsid w:val="00CB11E3"/>
    <w:rsid w:val="00CB1BA6"/>
    <w:rsid w:val="00CB1DE4"/>
    <w:rsid w:val="00CB2DB5"/>
    <w:rsid w:val="00CB3731"/>
    <w:rsid w:val="00CB3A8E"/>
    <w:rsid w:val="00CB4CD8"/>
    <w:rsid w:val="00CB4D87"/>
    <w:rsid w:val="00CB528C"/>
    <w:rsid w:val="00CB5CC4"/>
    <w:rsid w:val="00CB5D7A"/>
    <w:rsid w:val="00CB6010"/>
    <w:rsid w:val="00CB60AF"/>
    <w:rsid w:val="00CB6248"/>
    <w:rsid w:val="00CB66F7"/>
    <w:rsid w:val="00CB6C3A"/>
    <w:rsid w:val="00CB6E93"/>
    <w:rsid w:val="00CB70EE"/>
    <w:rsid w:val="00CB7179"/>
    <w:rsid w:val="00CB74E1"/>
    <w:rsid w:val="00CB7B3B"/>
    <w:rsid w:val="00CC0A35"/>
    <w:rsid w:val="00CC0B41"/>
    <w:rsid w:val="00CC1475"/>
    <w:rsid w:val="00CC15BA"/>
    <w:rsid w:val="00CC1712"/>
    <w:rsid w:val="00CC2AD1"/>
    <w:rsid w:val="00CC34D7"/>
    <w:rsid w:val="00CC34E4"/>
    <w:rsid w:val="00CC3B4C"/>
    <w:rsid w:val="00CC3C5D"/>
    <w:rsid w:val="00CC4963"/>
    <w:rsid w:val="00CC4DA0"/>
    <w:rsid w:val="00CC4DF4"/>
    <w:rsid w:val="00CC5C79"/>
    <w:rsid w:val="00CC6A93"/>
    <w:rsid w:val="00CC6FFD"/>
    <w:rsid w:val="00CC7398"/>
    <w:rsid w:val="00CC795F"/>
    <w:rsid w:val="00CD03B2"/>
    <w:rsid w:val="00CD0AFF"/>
    <w:rsid w:val="00CD0CE8"/>
    <w:rsid w:val="00CD11D4"/>
    <w:rsid w:val="00CD21EC"/>
    <w:rsid w:val="00CD2E5C"/>
    <w:rsid w:val="00CD3529"/>
    <w:rsid w:val="00CD3A2D"/>
    <w:rsid w:val="00CD5AEB"/>
    <w:rsid w:val="00CD5DE7"/>
    <w:rsid w:val="00CD609B"/>
    <w:rsid w:val="00CD61EA"/>
    <w:rsid w:val="00CD6629"/>
    <w:rsid w:val="00CD6BF3"/>
    <w:rsid w:val="00CD711B"/>
    <w:rsid w:val="00CD71BE"/>
    <w:rsid w:val="00CE150E"/>
    <w:rsid w:val="00CE17E9"/>
    <w:rsid w:val="00CE216C"/>
    <w:rsid w:val="00CE24E3"/>
    <w:rsid w:val="00CE2A7F"/>
    <w:rsid w:val="00CE2DD7"/>
    <w:rsid w:val="00CE325D"/>
    <w:rsid w:val="00CE3CEE"/>
    <w:rsid w:val="00CE517A"/>
    <w:rsid w:val="00CE555D"/>
    <w:rsid w:val="00CE580E"/>
    <w:rsid w:val="00CE79E2"/>
    <w:rsid w:val="00CE7BAB"/>
    <w:rsid w:val="00CE7C82"/>
    <w:rsid w:val="00CF1A62"/>
    <w:rsid w:val="00CF2EE9"/>
    <w:rsid w:val="00CF3671"/>
    <w:rsid w:val="00CF3A01"/>
    <w:rsid w:val="00CF3CD2"/>
    <w:rsid w:val="00CF460D"/>
    <w:rsid w:val="00CF57C8"/>
    <w:rsid w:val="00CF6004"/>
    <w:rsid w:val="00CF6A7D"/>
    <w:rsid w:val="00CF6E01"/>
    <w:rsid w:val="00CF74CE"/>
    <w:rsid w:val="00CF7AFE"/>
    <w:rsid w:val="00CF7F24"/>
    <w:rsid w:val="00CF7F8E"/>
    <w:rsid w:val="00D0006C"/>
    <w:rsid w:val="00D00154"/>
    <w:rsid w:val="00D001E3"/>
    <w:rsid w:val="00D00271"/>
    <w:rsid w:val="00D007E6"/>
    <w:rsid w:val="00D008F7"/>
    <w:rsid w:val="00D023E2"/>
    <w:rsid w:val="00D029F8"/>
    <w:rsid w:val="00D02CDF"/>
    <w:rsid w:val="00D0307C"/>
    <w:rsid w:val="00D030FC"/>
    <w:rsid w:val="00D0322C"/>
    <w:rsid w:val="00D03C5C"/>
    <w:rsid w:val="00D03E5F"/>
    <w:rsid w:val="00D046A8"/>
    <w:rsid w:val="00D048A6"/>
    <w:rsid w:val="00D05AA0"/>
    <w:rsid w:val="00D061CA"/>
    <w:rsid w:val="00D06385"/>
    <w:rsid w:val="00D06391"/>
    <w:rsid w:val="00D063E6"/>
    <w:rsid w:val="00D0658C"/>
    <w:rsid w:val="00D06CB0"/>
    <w:rsid w:val="00D07082"/>
    <w:rsid w:val="00D07940"/>
    <w:rsid w:val="00D07E15"/>
    <w:rsid w:val="00D10035"/>
    <w:rsid w:val="00D1008E"/>
    <w:rsid w:val="00D10532"/>
    <w:rsid w:val="00D10679"/>
    <w:rsid w:val="00D107C6"/>
    <w:rsid w:val="00D10D20"/>
    <w:rsid w:val="00D11486"/>
    <w:rsid w:val="00D115D6"/>
    <w:rsid w:val="00D135D4"/>
    <w:rsid w:val="00D136DD"/>
    <w:rsid w:val="00D13C53"/>
    <w:rsid w:val="00D14797"/>
    <w:rsid w:val="00D15005"/>
    <w:rsid w:val="00D157FF"/>
    <w:rsid w:val="00D16C06"/>
    <w:rsid w:val="00D16C33"/>
    <w:rsid w:val="00D16EAB"/>
    <w:rsid w:val="00D1734A"/>
    <w:rsid w:val="00D1773B"/>
    <w:rsid w:val="00D204BC"/>
    <w:rsid w:val="00D2064C"/>
    <w:rsid w:val="00D20A45"/>
    <w:rsid w:val="00D20E03"/>
    <w:rsid w:val="00D21579"/>
    <w:rsid w:val="00D215A7"/>
    <w:rsid w:val="00D215B5"/>
    <w:rsid w:val="00D23B06"/>
    <w:rsid w:val="00D24103"/>
    <w:rsid w:val="00D24C95"/>
    <w:rsid w:val="00D2566C"/>
    <w:rsid w:val="00D25C30"/>
    <w:rsid w:val="00D25C37"/>
    <w:rsid w:val="00D25FF1"/>
    <w:rsid w:val="00D261EC"/>
    <w:rsid w:val="00D2650B"/>
    <w:rsid w:val="00D26999"/>
    <w:rsid w:val="00D26C4A"/>
    <w:rsid w:val="00D26D6B"/>
    <w:rsid w:val="00D27328"/>
    <w:rsid w:val="00D27C34"/>
    <w:rsid w:val="00D3006A"/>
    <w:rsid w:val="00D304FD"/>
    <w:rsid w:val="00D306FE"/>
    <w:rsid w:val="00D318DF"/>
    <w:rsid w:val="00D31BF7"/>
    <w:rsid w:val="00D32421"/>
    <w:rsid w:val="00D3288C"/>
    <w:rsid w:val="00D33E79"/>
    <w:rsid w:val="00D34CF1"/>
    <w:rsid w:val="00D350D6"/>
    <w:rsid w:val="00D3565D"/>
    <w:rsid w:val="00D356D1"/>
    <w:rsid w:val="00D3577E"/>
    <w:rsid w:val="00D37AF2"/>
    <w:rsid w:val="00D37AF6"/>
    <w:rsid w:val="00D37FD1"/>
    <w:rsid w:val="00D40A55"/>
    <w:rsid w:val="00D40D79"/>
    <w:rsid w:val="00D40F69"/>
    <w:rsid w:val="00D41488"/>
    <w:rsid w:val="00D415B5"/>
    <w:rsid w:val="00D415B9"/>
    <w:rsid w:val="00D41741"/>
    <w:rsid w:val="00D41AC4"/>
    <w:rsid w:val="00D41B23"/>
    <w:rsid w:val="00D424AD"/>
    <w:rsid w:val="00D4260E"/>
    <w:rsid w:val="00D42F89"/>
    <w:rsid w:val="00D4321E"/>
    <w:rsid w:val="00D43F15"/>
    <w:rsid w:val="00D44766"/>
    <w:rsid w:val="00D451B4"/>
    <w:rsid w:val="00D4536C"/>
    <w:rsid w:val="00D455FE"/>
    <w:rsid w:val="00D47295"/>
    <w:rsid w:val="00D477C1"/>
    <w:rsid w:val="00D478FD"/>
    <w:rsid w:val="00D47DE3"/>
    <w:rsid w:val="00D50032"/>
    <w:rsid w:val="00D51359"/>
    <w:rsid w:val="00D521BE"/>
    <w:rsid w:val="00D52DD1"/>
    <w:rsid w:val="00D52FB1"/>
    <w:rsid w:val="00D538A2"/>
    <w:rsid w:val="00D53E5E"/>
    <w:rsid w:val="00D54A07"/>
    <w:rsid w:val="00D54C6F"/>
    <w:rsid w:val="00D54D4D"/>
    <w:rsid w:val="00D54F0F"/>
    <w:rsid w:val="00D55781"/>
    <w:rsid w:val="00D57089"/>
    <w:rsid w:val="00D5761B"/>
    <w:rsid w:val="00D57E7F"/>
    <w:rsid w:val="00D57EF4"/>
    <w:rsid w:val="00D60BFA"/>
    <w:rsid w:val="00D612E7"/>
    <w:rsid w:val="00D62973"/>
    <w:rsid w:val="00D64399"/>
    <w:rsid w:val="00D6482F"/>
    <w:rsid w:val="00D64D48"/>
    <w:rsid w:val="00D65058"/>
    <w:rsid w:val="00D66003"/>
    <w:rsid w:val="00D663AA"/>
    <w:rsid w:val="00D6657E"/>
    <w:rsid w:val="00D66DF9"/>
    <w:rsid w:val="00D679DC"/>
    <w:rsid w:val="00D67CEF"/>
    <w:rsid w:val="00D70038"/>
    <w:rsid w:val="00D70059"/>
    <w:rsid w:val="00D7025E"/>
    <w:rsid w:val="00D7041F"/>
    <w:rsid w:val="00D706B4"/>
    <w:rsid w:val="00D70D59"/>
    <w:rsid w:val="00D71296"/>
    <w:rsid w:val="00D7156D"/>
    <w:rsid w:val="00D731B2"/>
    <w:rsid w:val="00D73A49"/>
    <w:rsid w:val="00D73A70"/>
    <w:rsid w:val="00D73B8B"/>
    <w:rsid w:val="00D73F9C"/>
    <w:rsid w:val="00D743B0"/>
    <w:rsid w:val="00D744AD"/>
    <w:rsid w:val="00D745F3"/>
    <w:rsid w:val="00D7482B"/>
    <w:rsid w:val="00D74B43"/>
    <w:rsid w:val="00D74DE5"/>
    <w:rsid w:val="00D75294"/>
    <w:rsid w:val="00D75612"/>
    <w:rsid w:val="00D76C39"/>
    <w:rsid w:val="00D76CF4"/>
    <w:rsid w:val="00D7732A"/>
    <w:rsid w:val="00D77639"/>
    <w:rsid w:val="00D779CC"/>
    <w:rsid w:val="00D8019F"/>
    <w:rsid w:val="00D80C32"/>
    <w:rsid w:val="00D81183"/>
    <w:rsid w:val="00D815A9"/>
    <w:rsid w:val="00D81F16"/>
    <w:rsid w:val="00D82FB1"/>
    <w:rsid w:val="00D8449F"/>
    <w:rsid w:val="00D856F9"/>
    <w:rsid w:val="00D871A1"/>
    <w:rsid w:val="00D876DE"/>
    <w:rsid w:val="00D87890"/>
    <w:rsid w:val="00D87A33"/>
    <w:rsid w:val="00D87BF2"/>
    <w:rsid w:val="00D87D75"/>
    <w:rsid w:val="00D87FBE"/>
    <w:rsid w:val="00D90E5D"/>
    <w:rsid w:val="00D911C7"/>
    <w:rsid w:val="00D91563"/>
    <w:rsid w:val="00D91A19"/>
    <w:rsid w:val="00D91BEB"/>
    <w:rsid w:val="00D91F97"/>
    <w:rsid w:val="00D92942"/>
    <w:rsid w:val="00D9296D"/>
    <w:rsid w:val="00D92FE4"/>
    <w:rsid w:val="00D93999"/>
    <w:rsid w:val="00D9403A"/>
    <w:rsid w:val="00D95E6F"/>
    <w:rsid w:val="00D97C2E"/>
    <w:rsid w:val="00D97F0A"/>
    <w:rsid w:val="00DA03BE"/>
    <w:rsid w:val="00DA07D6"/>
    <w:rsid w:val="00DA0CE0"/>
    <w:rsid w:val="00DA13AB"/>
    <w:rsid w:val="00DA1ABD"/>
    <w:rsid w:val="00DA1F3A"/>
    <w:rsid w:val="00DA242A"/>
    <w:rsid w:val="00DA28F3"/>
    <w:rsid w:val="00DA3074"/>
    <w:rsid w:val="00DA35E0"/>
    <w:rsid w:val="00DA39B3"/>
    <w:rsid w:val="00DA47B9"/>
    <w:rsid w:val="00DA5395"/>
    <w:rsid w:val="00DA561C"/>
    <w:rsid w:val="00DA65F4"/>
    <w:rsid w:val="00DA6675"/>
    <w:rsid w:val="00DA676A"/>
    <w:rsid w:val="00DA6A40"/>
    <w:rsid w:val="00DA6E9D"/>
    <w:rsid w:val="00DA7086"/>
    <w:rsid w:val="00DA72C6"/>
    <w:rsid w:val="00DA7C81"/>
    <w:rsid w:val="00DB09AE"/>
    <w:rsid w:val="00DB0A5C"/>
    <w:rsid w:val="00DB1BDD"/>
    <w:rsid w:val="00DB27C0"/>
    <w:rsid w:val="00DB3047"/>
    <w:rsid w:val="00DB38C8"/>
    <w:rsid w:val="00DB4668"/>
    <w:rsid w:val="00DB471D"/>
    <w:rsid w:val="00DB564D"/>
    <w:rsid w:val="00DB5784"/>
    <w:rsid w:val="00DB5E2D"/>
    <w:rsid w:val="00DB635C"/>
    <w:rsid w:val="00DB73A2"/>
    <w:rsid w:val="00DB7520"/>
    <w:rsid w:val="00DB7BA6"/>
    <w:rsid w:val="00DC03B0"/>
    <w:rsid w:val="00DC065A"/>
    <w:rsid w:val="00DC1C19"/>
    <w:rsid w:val="00DC22ED"/>
    <w:rsid w:val="00DC2CE2"/>
    <w:rsid w:val="00DC31AF"/>
    <w:rsid w:val="00DC3990"/>
    <w:rsid w:val="00DC3CCF"/>
    <w:rsid w:val="00DC404D"/>
    <w:rsid w:val="00DC47F2"/>
    <w:rsid w:val="00DC5254"/>
    <w:rsid w:val="00DC5794"/>
    <w:rsid w:val="00DC6AA9"/>
    <w:rsid w:val="00DD018D"/>
    <w:rsid w:val="00DD0BA7"/>
    <w:rsid w:val="00DD2105"/>
    <w:rsid w:val="00DD25FC"/>
    <w:rsid w:val="00DD2DF1"/>
    <w:rsid w:val="00DD3641"/>
    <w:rsid w:val="00DD414F"/>
    <w:rsid w:val="00DD5A25"/>
    <w:rsid w:val="00DD5F14"/>
    <w:rsid w:val="00DD63EB"/>
    <w:rsid w:val="00DD784E"/>
    <w:rsid w:val="00DE005C"/>
    <w:rsid w:val="00DE0239"/>
    <w:rsid w:val="00DE046E"/>
    <w:rsid w:val="00DE0828"/>
    <w:rsid w:val="00DE0A8C"/>
    <w:rsid w:val="00DE0F4A"/>
    <w:rsid w:val="00DE1422"/>
    <w:rsid w:val="00DE160F"/>
    <w:rsid w:val="00DE1750"/>
    <w:rsid w:val="00DE1ABA"/>
    <w:rsid w:val="00DE2A2D"/>
    <w:rsid w:val="00DE2B86"/>
    <w:rsid w:val="00DE30F7"/>
    <w:rsid w:val="00DE3529"/>
    <w:rsid w:val="00DE365B"/>
    <w:rsid w:val="00DE3A5E"/>
    <w:rsid w:val="00DE3DA2"/>
    <w:rsid w:val="00DE446A"/>
    <w:rsid w:val="00DE4A17"/>
    <w:rsid w:val="00DE5007"/>
    <w:rsid w:val="00DE63C1"/>
    <w:rsid w:val="00DE65FB"/>
    <w:rsid w:val="00DE681A"/>
    <w:rsid w:val="00DE77DA"/>
    <w:rsid w:val="00DE7B11"/>
    <w:rsid w:val="00DF088A"/>
    <w:rsid w:val="00DF2746"/>
    <w:rsid w:val="00DF2EA1"/>
    <w:rsid w:val="00DF2F56"/>
    <w:rsid w:val="00DF324C"/>
    <w:rsid w:val="00DF35AC"/>
    <w:rsid w:val="00DF3CAB"/>
    <w:rsid w:val="00DF4B3A"/>
    <w:rsid w:val="00DF4EC2"/>
    <w:rsid w:val="00DF58E0"/>
    <w:rsid w:val="00DF5B07"/>
    <w:rsid w:val="00DF6038"/>
    <w:rsid w:val="00DF6584"/>
    <w:rsid w:val="00DF65B8"/>
    <w:rsid w:val="00DF6CB6"/>
    <w:rsid w:val="00DF6E8D"/>
    <w:rsid w:val="00DF775A"/>
    <w:rsid w:val="00DF7D68"/>
    <w:rsid w:val="00E005A0"/>
    <w:rsid w:val="00E010D3"/>
    <w:rsid w:val="00E010E7"/>
    <w:rsid w:val="00E014EE"/>
    <w:rsid w:val="00E01F74"/>
    <w:rsid w:val="00E02FA4"/>
    <w:rsid w:val="00E031A2"/>
    <w:rsid w:val="00E0396B"/>
    <w:rsid w:val="00E03CAA"/>
    <w:rsid w:val="00E04297"/>
    <w:rsid w:val="00E04B76"/>
    <w:rsid w:val="00E057A4"/>
    <w:rsid w:val="00E0589E"/>
    <w:rsid w:val="00E05927"/>
    <w:rsid w:val="00E059AA"/>
    <w:rsid w:val="00E05FB4"/>
    <w:rsid w:val="00E063A5"/>
    <w:rsid w:val="00E0656A"/>
    <w:rsid w:val="00E074EA"/>
    <w:rsid w:val="00E07BDA"/>
    <w:rsid w:val="00E07CE0"/>
    <w:rsid w:val="00E10481"/>
    <w:rsid w:val="00E10DFA"/>
    <w:rsid w:val="00E111C0"/>
    <w:rsid w:val="00E11532"/>
    <w:rsid w:val="00E11DE6"/>
    <w:rsid w:val="00E121DB"/>
    <w:rsid w:val="00E128B4"/>
    <w:rsid w:val="00E12B6D"/>
    <w:rsid w:val="00E13458"/>
    <w:rsid w:val="00E135D9"/>
    <w:rsid w:val="00E13DF0"/>
    <w:rsid w:val="00E143E0"/>
    <w:rsid w:val="00E14599"/>
    <w:rsid w:val="00E14814"/>
    <w:rsid w:val="00E149FA"/>
    <w:rsid w:val="00E14F94"/>
    <w:rsid w:val="00E15B47"/>
    <w:rsid w:val="00E15CA4"/>
    <w:rsid w:val="00E15EBD"/>
    <w:rsid w:val="00E1621C"/>
    <w:rsid w:val="00E16283"/>
    <w:rsid w:val="00E1696A"/>
    <w:rsid w:val="00E16F53"/>
    <w:rsid w:val="00E16FD7"/>
    <w:rsid w:val="00E174A0"/>
    <w:rsid w:val="00E1779C"/>
    <w:rsid w:val="00E20AD6"/>
    <w:rsid w:val="00E213C3"/>
    <w:rsid w:val="00E221CA"/>
    <w:rsid w:val="00E22787"/>
    <w:rsid w:val="00E22CD4"/>
    <w:rsid w:val="00E22E52"/>
    <w:rsid w:val="00E22E63"/>
    <w:rsid w:val="00E2384D"/>
    <w:rsid w:val="00E23BBF"/>
    <w:rsid w:val="00E2479B"/>
    <w:rsid w:val="00E249D9"/>
    <w:rsid w:val="00E24D15"/>
    <w:rsid w:val="00E256ED"/>
    <w:rsid w:val="00E25898"/>
    <w:rsid w:val="00E25908"/>
    <w:rsid w:val="00E25FA8"/>
    <w:rsid w:val="00E260F8"/>
    <w:rsid w:val="00E267F5"/>
    <w:rsid w:val="00E277B3"/>
    <w:rsid w:val="00E278B1"/>
    <w:rsid w:val="00E30137"/>
    <w:rsid w:val="00E30490"/>
    <w:rsid w:val="00E30F78"/>
    <w:rsid w:val="00E31739"/>
    <w:rsid w:val="00E31918"/>
    <w:rsid w:val="00E31E68"/>
    <w:rsid w:val="00E3259F"/>
    <w:rsid w:val="00E32AE3"/>
    <w:rsid w:val="00E32AF6"/>
    <w:rsid w:val="00E32D6C"/>
    <w:rsid w:val="00E3315A"/>
    <w:rsid w:val="00E336ED"/>
    <w:rsid w:val="00E340EF"/>
    <w:rsid w:val="00E34189"/>
    <w:rsid w:val="00E3477F"/>
    <w:rsid w:val="00E34C80"/>
    <w:rsid w:val="00E353DE"/>
    <w:rsid w:val="00E35F03"/>
    <w:rsid w:val="00E36100"/>
    <w:rsid w:val="00E36308"/>
    <w:rsid w:val="00E36327"/>
    <w:rsid w:val="00E37841"/>
    <w:rsid w:val="00E378CF"/>
    <w:rsid w:val="00E403C4"/>
    <w:rsid w:val="00E40C2F"/>
    <w:rsid w:val="00E40F9B"/>
    <w:rsid w:val="00E41D02"/>
    <w:rsid w:val="00E41FF0"/>
    <w:rsid w:val="00E42007"/>
    <w:rsid w:val="00E424F9"/>
    <w:rsid w:val="00E43A7D"/>
    <w:rsid w:val="00E43FE3"/>
    <w:rsid w:val="00E440B7"/>
    <w:rsid w:val="00E44109"/>
    <w:rsid w:val="00E4451D"/>
    <w:rsid w:val="00E449A4"/>
    <w:rsid w:val="00E44B8B"/>
    <w:rsid w:val="00E45158"/>
    <w:rsid w:val="00E451F0"/>
    <w:rsid w:val="00E45F45"/>
    <w:rsid w:val="00E46554"/>
    <w:rsid w:val="00E467BC"/>
    <w:rsid w:val="00E46A68"/>
    <w:rsid w:val="00E47022"/>
    <w:rsid w:val="00E47131"/>
    <w:rsid w:val="00E4731F"/>
    <w:rsid w:val="00E4771D"/>
    <w:rsid w:val="00E47921"/>
    <w:rsid w:val="00E479B6"/>
    <w:rsid w:val="00E47FF0"/>
    <w:rsid w:val="00E502BD"/>
    <w:rsid w:val="00E50807"/>
    <w:rsid w:val="00E50BCA"/>
    <w:rsid w:val="00E51412"/>
    <w:rsid w:val="00E52340"/>
    <w:rsid w:val="00E5296F"/>
    <w:rsid w:val="00E52EBD"/>
    <w:rsid w:val="00E52FFE"/>
    <w:rsid w:val="00E5384C"/>
    <w:rsid w:val="00E53C50"/>
    <w:rsid w:val="00E548A7"/>
    <w:rsid w:val="00E54AF0"/>
    <w:rsid w:val="00E56541"/>
    <w:rsid w:val="00E56FD0"/>
    <w:rsid w:val="00E57B9D"/>
    <w:rsid w:val="00E57C39"/>
    <w:rsid w:val="00E57D5E"/>
    <w:rsid w:val="00E60D8E"/>
    <w:rsid w:val="00E61061"/>
    <w:rsid w:val="00E61D1C"/>
    <w:rsid w:val="00E62084"/>
    <w:rsid w:val="00E626E6"/>
    <w:rsid w:val="00E631A4"/>
    <w:rsid w:val="00E63B63"/>
    <w:rsid w:val="00E63BB7"/>
    <w:rsid w:val="00E63CFE"/>
    <w:rsid w:val="00E64DA8"/>
    <w:rsid w:val="00E64ED5"/>
    <w:rsid w:val="00E64F18"/>
    <w:rsid w:val="00E650FE"/>
    <w:rsid w:val="00E65F16"/>
    <w:rsid w:val="00E6684F"/>
    <w:rsid w:val="00E669B0"/>
    <w:rsid w:val="00E6703E"/>
    <w:rsid w:val="00E67395"/>
    <w:rsid w:val="00E67B69"/>
    <w:rsid w:val="00E71DD6"/>
    <w:rsid w:val="00E71E9F"/>
    <w:rsid w:val="00E72676"/>
    <w:rsid w:val="00E728FD"/>
    <w:rsid w:val="00E73498"/>
    <w:rsid w:val="00E74B98"/>
    <w:rsid w:val="00E75C0D"/>
    <w:rsid w:val="00E75C81"/>
    <w:rsid w:val="00E76880"/>
    <w:rsid w:val="00E768D8"/>
    <w:rsid w:val="00E77639"/>
    <w:rsid w:val="00E778BD"/>
    <w:rsid w:val="00E778CC"/>
    <w:rsid w:val="00E77920"/>
    <w:rsid w:val="00E77E35"/>
    <w:rsid w:val="00E80687"/>
    <w:rsid w:val="00E80A00"/>
    <w:rsid w:val="00E80D8D"/>
    <w:rsid w:val="00E811D9"/>
    <w:rsid w:val="00E8170D"/>
    <w:rsid w:val="00E81C26"/>
    <w:rsid w:val="00E823B9"/>
    <w:rsid w:val="00E83034"/>
    <w:rsid w:val="00E834C2"/>
    <w:rsid w:val="00E8397D"/>
    <w:rsid w:val="00E84695"/>
    <w:rsid w:val="00E84A54"/>
    <w:rsid w:val="00E86B0B"/>
    <w:rsid w:val="00E87BF0"/>
    <w:rsid w:val="00E87D0D"/>
    <w:rsid w:val="00E87DFA"/>
    <w:rsid w:val="00E9062F"/>
    <w:rsid w:val="00E90B57"/>
    <w:rsid w:val="00E91E82"/>
    <w:rsid w:val="00E92392"/>
    <w:rsid w:val="00E923F6"/>
    <w:rsid w:val="00E92940"/>
    <w:rsid w:val="00E929E1"/>
    <w:rsid w:val="00E92A29"/>
    <w:rsid w:val="00E92BF2"/>
    <w:rsid w:val="00E92C0D"/>
    <w:rsid w:val="00E932C5"/>
    <w:rsid w:val="00E9348B"/>
    <w:rsid w:val="00E93513"/>
    <w:rsid w:val="00E93970"/>
    <w:rsid w:val="00E93A16"/>
    <w:rsid w:val="00E93E5A"/>
    <w:rsid w:val="00E9447E"/>
    <w:rsid w:val="00E94F0D"/>
    <w:rsid w:val="00E9582F"/>
    <w:rsid w:val="00E96321"/>
    <w:rsid w:val="00E963D8"/>
    <w:rsid w:val="00E97749"/>
    <w:rsid w:val="00E978EC"/>
    <w:rsid w:val="00E978F3"/>
    <w:rsid w:val="00E97D5C"/>
    <w:rsid w:val="00E97E14"/>
    <w:rsid w:val="00EA00D2"/>
    <w:rsid w:val="00EA0C48"/>
    <w:rsid w:val="00EA0E0A"/>
    <w:rsid w:val="00EA1674"/>
    <w:rsid w:val="00EA26ED"/>
    <w:rsid w:val="00EA3AF8"/>
    <w:rsid w:val="00EA3DEC"/>
    <w:rsid w:val="00EA4472"/>
    <w:rsid w:val="00EA62CE"/>
    <w:rsid w:val="00EA7718"/>
    <w:rsid w:val="00EB03D7"/>
    <w:rsid w:val="00EB089B"/>
    <w:rsid w:val="00EB1264"/>
    <w:rsid w:val="00EB1271"/>
    <w:rsid w:val="00EB362D"/>
    <w:rsid w:val="00EB4429"/>
    <w:rsid w:val="00EB4A44"/>
    <w:rsid w:val="00EB4B9D"/>
    <w:rsid w:val="00EB4E1D"/>
    <w:rsid w:val="00EB518F"/>
    <w:rsid w:val="00EB5373"/>
    <w:rsid w:val="00EB5D18"/>
    <w:rsid w:val="00EB6A9E"/>
    <w:rsid w:val="00EB714D"/>
    <w:rsid w:val="00EB7419"/>
    <w:rsid w:val="00EB7465"/>
    <w:rsid w:val="00EB7DEB"/>
    <w:rsid w:val="00EC0DDB"/>
    <w:rsid w:val="00EC1573"/>
    <w:rsid w:val="00EC212D"/>
    <w:rsid w:val="00EC21FA"/>
    <w:rsid w:val="00EC24B2"/>
    <w:rsid w:val="00EC2957"/>
    <w:rsid w:val="00EC295E"/>
    <w:rsid w:val="00EC45E9"/>
    <w:rsid w:val="00EC4E5C"/>
    <w:rsid w:val="00EC5C66"/>
    <w:rsid w:val="00EC6616"/>
    <w:rsid w:val="00EC678D"/>
    <w:rsid w:val="00EC6D7B"/>
    <w:rsid w:val="00EC6DAC"/>
    <w:rsid w:val="00EC6DB7"/>
    <w:rsid w:val="00EC6E54"/>
    <w:rsid w:val="00EC7124"/>
    <w:rsid w:val="00EC76A4"/>
    <w:rsid w:val="00EC7972"/>
    <w:rsid w:val="00ED03DA"/>
    <w:rsid w:val="00ED0A49"/>
    <w:rsid w:val="00ED152A"/>
    <w:rsid w:val="00ED16F7"/>
    <w:rsid w:val="00ED2BE9"/>
    <w:rsid w:val="00ED33C4"/>
    <w:rsid w:val="00ED3499"/>
    <w:rsid w:val="00ED3521"/>
    <w:rsid w:val="00ED4183"/>
    <w:rsid w:val="00ED4DCF"/>
    <w:rsid w:val="00ED5109"/>
    <w:rsid w:val="00ED5A80"/>
    <w:rsid w:val="00ED6137"/>
    <w:rsid w:val="00ED7381"/>
    <w:rsid w:val="00ED746F"/>
    <w:rsid w:val="00ED76A2"/>
    <w:rsid w:val="00ED7B28"/>
    <w:rsid w:val="00EE012B"/>
    <w:rsid w:val="00EE03CB"/>
    <w:rsid w:val="00EE0884"/>
    <w:rsid w:val="00EE0A33"/>
    <w:rsid w:val="00EE0B3C"/>
    <w:rsid w:val="00EE115B"/>
    <w:rsid w:val="00EE1202"/>
    <w:rsid w:val="00EE1AB4"/>
    <w:rsid w:val="00EE1CED"/>
    <w:rsid w:val="00EE3700"/>
    <w:rsid w:val="00EE3E03"/>
    <w:rsid w:val="00EE3E5B"/>
    <w:rsid w:val="00EE4773"/>
    <w:rsid w:val="00EE5847"/>
    <w:rsid w:val="00EE5E0E"/>
    <w:rsid w:val="00EE674A"/>
    <w:rsid w:val="00EE7876"/>
    <w:rsid w:val="00EF06CD"/>
    <w:rsid w:val="00EF0A57"/>
    <w:rsid w:val="00EF0DE4"/>
    <w:rsid w:val="00EF16EE"/>
    <w:rsid w:val="00EF1702"/>
    <w:rsid w:val="00EF1816"/>
    <w:rsid w:val="00EF25D3"/>
    <w:rsid w:val="00EF2642"/>
    <w:rsid w:val="00EF26A4"/>
    <w:rsid w:val="00EF37AA"/>
    <w:rsid w:val="00EF3D7C"/>
    <w:rsid w:val="00EF4B73"/>
    <w:rsid w:val="00EF54FD"/>
    <w:rsid w:val="00EF562D"/>
    <w:rsid w:val="00EF5CF8"/>
    <w:rsid w:val="00EF7273"/>
    <w:rsid w:val="00EF744E"/>
    <w:rsid w:val="00EF75EC"/>
    <w:rsid w:val="00EF768F"/>
    <w:rsid w:val="00EF7903"/>
    <w:rsid w:val="00F0009A"/>
    <w:rsid w:val="00F00357"/>
    <w:rsid w:val="00F00A60"/>
    <w:rsid w:val="00F01266"/>
    <w:rsid w:val="00F0156A"/>
    <w:rsid w:val="00F0198F"/>
    <w:rsid w:val="00F02F09"/>
    <w:rsid w:val="00F031CF"/>
    <w:rsid w:val="00F03736"/>
    <w:rsid w:val="00F04836"/>
    <w:rsid w:val="00F04BF8"/>
    <w:rsid w:val="00F058E8"/>
    <w:rsid w:val="00F05FE0"/>
    <w:rsid w:val="00F064EF"/>
    <w:rsid w:val="00F070C2"/>
    <w:rsid w:val="00F07EAC"/>
    <w:rsid w:val="00F07FE3"/>
    <w:rsid w:val="00F106A0"/>
    <w:rsid w:val="00F10D2E"/>
    <w:rsid w:val="00F10EBA"/>
    <w:rsid w:val="00F11292"/>
    <w:rsid w:val="00F115AB"/>
    <w:rsid w:val="00F11FC8"/>
    <w:rsid w:val="00F1264E"/>
    <w:rsid w:val="00F128E6"/>
    <w:rsid w:val="00F12FCE"/>
    <w:rsid w:val="00F12FE6"/>
    <w:rsid w:val="00F14A78"/>
    <w:rsid w:val="00F150F7"/>
    <w:rsid w:val="00F15B4B"/>
    <w:rsid w:val="00F1724C"/>
    <w:rsid w:val="00F17806"/>
    <w:rsid w:val="00F17A65"/>
    <w:rsid w:val="00F17CD7"/>
    <w:rsid w:val="00F17DF9"/>
    <w:rsid w:val="00F2016E"/>
    <w:rsid w:val="00F201F9"/>
    <w:rsid w:val="00F20265"/>
    <w:rsid w:val="00F20356"/>
    <w:rsid w:val="00F20563"/>
    <w:rsid w:val="00F20D66"/>
    <w:rsid w:val="00F20F89"/>
    <w:rsid w:val="00F211EF"/>
    <w:rsid w:val="00F2153F"/>
    <w:rsid w:val="00F21D45"/>
    <w:rsid w:val="00F21D77"/>
    <w:rsid w:val="00F22121"/>
    <w:rsid w:val="00F24A1D"/>
    <w:rsid w:val="00F257E0"/>
    <w:rsid w:val="00F25D51"/>
    <w:rsid w:val="00F25E59"/>
    <w:rsid w:val="00F25F5E"/>
    <w:rsid w:val="00F267E2"/>
    <w:rsid w:val="00F26BE9"/>
    <w:rsid w:val="00F27DDB"/>
    <w:rsid w:val="00F307D2"/>
    <w:rsid w:val="00F31E55"/>
    <w:rsid w:val="00F3237D"/>
    <w:rsid w:val="00F33174"/>
    <w:rsid w:val="00F33534"/>
    <w:rsid w:val="00F33DD9"/>
    <w:rsid w:val="00F33FFB"/>
    <w:rsid w:val="00F340B0"/>
    <w:rsid w:val="00F347CD"/>
    <w:rsid w:val="00F34E78"/>
    <w:rsid w:val="00F34EC2"/>
    <w:rsid w:val="00F34F51"/>
    <w:rsid w:val="00F368E3"/>
    <w:rsid w:val="00F374E7"/>
    <w:rsid w:val="00F37507"/>
    <w:rsid w:val="00F376A9"/>
    <w:rsid w:val="00F37A09"/>
    <w:rsid w:val="00F37F62"/>
    <w:rsid w:val="00F40018"/>
    <w:rsid w:val="00F4007A"/>
    <w:rsid w:val="00F405D8"/>
    <w:rsid w:val="00F419FC"/>
    <w:rsid w:val="00F41D07"/>
    <w:rsid w:val="00F41D47"/>
    <w:rsid w:val="00F433B7"/>
    <w:rsid w:val="00F44783"/>
    <w:rsid w:val="00F44864"/>
    <w:rsid w:val="00F448C9"/>
    <w:rsid w:val="00F452DA"/>
    <w:rsid w:val="00F456C5"/>
    <w:rsid w:val="00F45947"/>
    <w:rsid w:val="00F45A4E"/>
    <w:rsid w:val="00F46387"/>
    <w:rsid w:val="00F46826"/>
    <w:rsid w:val="00F46B05"/>
    <w:rsid w:val="00F470F7"/>
    <w:rsid w:val="00F47439"/>
    <w:rsid w:val="00F4743D"/>
    <w:rsid w:val="00F47497"/>
    <w:rsid w:val="00F47532"/>
    <w:rsid w:val="00F4754F"/>
    <w:rsid w:val="00F502B4"/>
    <w:rsid w:val="00F50A2F"/>
    <w:rsid w:val="00F50EAF"/>
    <w:rsid w:val="00F5173E"/>
    <w:rsid w:val="00F527DD"/>
    <w:rsid w:val="00F53078"/>
    <w:rsid w:val="00F53755"/>
    <w:rsid w:val="00F53CD4"/>
    <w:rsid w:val="00F54375"/>
    <w:rsid w:val="00F5451A"/>
    <w:rsid w:val="00F54A66"/>
    <w:rsid w:val="00F5503E"/>
    <w:rsid w:val="00F55A59"/>
    <w:rsid w:val="00F562B0"/>
    <w:rsid w:val="00F56C9F"/>
    <w:rsid w:val="00F6031B"/>
    <w:rsid w:val="00F60A54"/>
    <w:rsid w:val="00F611DA"/>
    <w:rsid w:val="00F6180B"/>
    <w:rsid w:val="00F61C6B"/>
    <w:rsid w:val="00F61D41"/>
    <w:rsid w:val="00F6212C"/>
    <w:rsid w:val="00F625D5"/>
    <w:rsid w:val="00F627F5"/>
    <w:rsid w:val="00F62D85"/>
    <w:rsid w:val="00F6358C"/>
    <w:rsid w:val="00F646DC"/>
    <w:rsid w:val="00F64953"/>
    <w:rsid w:val="00F64C34"/>
    <w:rsid w:val="00F65000"/>
    <w:rsid w:val="00F65030"/>
    <w:rsid w:val="00F6530F"/>
    <w:rsid w:val="00F6554D"/>
    <w:rsid w:val="00F6686D"/>
    <w:rsid w:val="00F669FC"/>
    <w:rsid w:val="00F66A74"/>
    <w:rsid w:val="00F677C2"/>
    <w:rsid w:val="00F701C6"/>
    <w:rsid w:val="00F704AA"/>
    <w:rsid w:val="00F706BC"/>
    <w:rsid w:val="00F714B3"/>
    <w:rsid w:val="00F716AC"/>
    <w:rsid w:val="00F717DA"/>
    <w:rsid w:val="00F71D50"/>
    <w:rsid w:val="00F722C8"/>
    <w:rsid w:val="00F72A62"/>
    <w:rsid w:val="00F72C53"/>
    <w:rsid w:val="00F73500"/>
    <w:rsid w:val="00F7369E"/>
    <w:rsid w:val="00F73818"/>
    <w:rsid w:val="00F73981"/>
    <w:rsid w:val="00F7398B"/>
    <w:rsid w:val="00F73C72"/>
    <w:rsid w:val="00F7426F"/>
    <w:rsid w:val="00F744D4"/>
    <w:rsid w:val="00F74B33"/>
    <w:rsid w:val="00F74C62"/>
    <w:rsid w:val="00F7612E"/>
    <w:rsid w:val="00F761D1"/>
    <w:rsid w:val="00F766AD"/>
    <w:rsid w:val="00F767E2"/>
    <w:rsid w:val="00F76A80"/>
    <w:rsid w:val="00F8015B"/>
    <w:rsid w:val="00F80CE3"/>
    <w:rsid w:val="00F80E36"/>
    <w:rsid w:val="00F81D75"/>
    <w:rsid w:val="00F81EB5"/>
    <w:rsid w:val="00F8208B"/>
    <w:rsid w:val="00F820CD"/>
    <w:rsid w:val="00F82918"/>
    <w:rsid w:val="00F82CA9"/>
    <w:rsid w:val="00F82F69"/>
    <w:rsid w:val="00F8373D"/>
    <w:rsid w:val="00F83B05"/>
    <w:rsid w:val="00F83BEB"/>
    <w:rsid w:val="00F83C05"/>
    <w:rsid w:val="00F83F3B"/>
    <w:rsid w:val="00F8582E"/>
    <w:rsid w:val="00F85B71"/>
    <w:rsid w:val="00F85E40"/>
    <w:rsid w:val="00F85EB9"/>
    <w:rsid w:val="00F86145"/>
    <w:rsid w:val="00F86B60"/>
    <w:rsid w:val="00F87342"/>
    <w:rsid w:val="00F8735D"/>
    <w:rsid w:val="00F87F9B"/>
    <w:rsid w:val="00F90511"/>
    <w:rsid w:val="00F9219D"/>
    <w:rsid w:val="00F93E58"/>
    <w:rsid w:val="00F941DC"/>
    <w:rsid w:val="00F9460D"/>
    <w:rsid w:val="00F948D1"/>
    <w:rsid w:val="00F94B4F"/>
    <w:rsid w:val="00F94BD9"/>
    <w:rsid w:val="00F96321"/>
    <w:rsid w:val="00F9649D"/>
    <w:rsid w:val="00F967B6"/>
    <w:rsid w:val="00F96A5D"/>
    <w:rsid w:val="00F973AB"/>
    <w:rsid w:val="00F976BC"/>
    <w:rsid w:val="00FA083E"/>
    <w:rsid w:val="00FA0E10"/>
    <w:rsid w:val="00FA1009"/>
    <w:rsid w:val="00FA1341"/>
    <w:rsid w:val="00FA21A7"/>
    <w:rsid w:val="00FA27C0"/>
    <w:rsid w:val="00FA30C2"/>
    <w:rsid w:val="00FA3143"/>
    <w:rsid w:val="00FA3DEA"/>
    <w:rsid w:val="00FA4637"/>
    <w:rsid w:val="00FA4E89"/>
    <w:rsid w:val="00FA5F45"/>
    <w:rsid w:val="00FA698D"/>
    <w:rsid w:val="00FA6A59"/>
    <w:rsid w:val="00FA6DAC"/>
    <w:rsid w:val="00FA6E0D"/>
    <w:rsid w:val="00FA75BA"/>
    <w:rsid w:val="00FA75FF"/>
    <w:rsid w:val="00FA7A73"/>
    <w:rsid w:val="00FA7B9C"/>
    <w:rsid w:val="00FB2564"/>
    <w:rsid w:val="00FB2715"/>
    <w:rsid w:val="00FB28CC"/>
    <w:rsid w:val="00FB2AF1"/>
    <w:rsid w:val="00FB2C74"/>
    <w:rsid w:val="00FB2D5B"/>
    <w:rsid w:val="00FB3363"/>
    <w:rsid w:val="00FB363B"/>
    <w:rsid w:val="00FB3CCD"/>
    <w:rsid w:val="00FB43C5"/>
    <w:rsid w:val="00FB466E"/>
    <w:rsid w:val="00FB46B7"/>
    <w:rsid w:val="00FB48D8"/>
    <w:rsid w:val="00FB4ACD"/>
    <w:rsid w:val="00FB4BC0"/>
    <w:rsid w:val="00FB4C14"/>
    <w:rsid w:val="00FB5940"/>
    <w:rsid w:val="00FB5C97"/>
    <w:rsid w:val="00FB5C99"/>
    <w:rsid w:val="00FB5DF1"/>
    <w:rsid w:val="00FB5E34"/>
    <w:rsid w:val="00FB6DC5"/>
    <w:rsid w:val="00FB6F18"/>
    <w:rsid w:val="00FB74BB"/>
    <w:rsid w:val="00FC0789"/>
    <w:rsid w:val="00FC1204"/>
    <w:rsid w:val="00FC13AF"/>
    <w:rsid w:val="00FC1652"/>
    <w:rsid w:val="00FC1791"/>
    <w:rsid w:val="00FC1817"/>
    <w:rsid w:val="00FC1E19"/>
    <w:rsid w:val="00FC230E"/>
    <w:rsid w:val="00FC2571"/>
    <w:rsid w:val="00FC2EA5"/>
    <w:rsid w:val="00FC3158"/>
    <w:rsid w:val="00FC32C6"/>
    <w:rsid w:val="00FC35B9"/>
    <w:rsid w:val="00FC3B97"/>
    <w:rsid w:val="00FC466C"/>
    <w:rsid w:val="00FC4D5D"/>
    <w:rsid w:val="00FC6B04"/>
    <w:rsid w:val="00FC6EE1"/>
    <w:rsid w:val="00FC7285"/>
    <w:rsid w:val="00FC7379"/>
    <w:rsid w:val="00FC7ED5"/>
    <w:rsid w:val="00FD23FD"/>
    <w:rsid w:val="00FD296D"/>
    <w:rsid w:val="00FD29B1"/>
    <w:rsid w:val="00FD2BCD"/>
    <w:rsid w:val="00FD3130"/>
    <w:rsid w:val="00FD3269"/>
    <w:rsid w:val="00FD39B8"/>
    <w:rsid w:val="00FD3A17"/>
    <w:rsid w:val="00FD4850"/>
    <w:rsid w:val="00FD4DE3"/>
    <w:rsid w:val="00FD54ED"/>
    <w:rsid w:val="00FD554D"/>
    <w:rsid w:val="00FD5EE7"/>
    <w:rsid w:val="00FD61C3"/>
    <w:rsid w:val="00FD68CF"/>
    <w:rsid w:val="00FD721F"/>
    <w:rsid w:val="00FD7A55"/>
    <w:rsid w:val="00FD7C64"/>
    <w:rsid w:val="00FE018D"/>
    <w:rsid w:val="00FE072F"/>
    <w:rsid w:val="00FE0D37"/>
    <w:rsid w:val="00FE0DFB"/>
    <w:rsid w:val="00FE10BB"/>
    <w:rsid w:val="00FE18F6"/>
    <w:rsid w:val="00FE1BDD"/>
    <w:rsid w:val="00FE1D76"/>
    <w:rsid w:val="00FE225B"/>
    <w:rsid w:val="00FE22FA"/>
    <w:rsid w:val="00FE2409"/>
    <w:rsid w:val="00FE25AF"/>
    <w:rsid w:val="00FE28B6"/>
    <w:rsid w:val="00FE3A60"/>
    <w:rsid w:val="00FE3D99"/>
    <w:rsid w:val="00FE573A"/>
    <w:rsid w:val="00FE5837"/>
    <w:rsid w:val="00FE5DA3"/>
    <w:rsid w:val="00FE6479"/>
    <w:rsid w:val="00FE6BED"/>
    <w:rsid w:val="00FE7717"/>
    <w:rsid w:val="00FE7B7B"/>
    <w:rsid w:val="00FF0A51"/>
    <w:rsid w:val="00FF0B11"/>
    <w:rsid w:val="00FF0B69"/>
    <w:rsid w:val="00FF11F3"/>
    <w:rsid w:val="00FF182D"/>
    <w:rsid w:val="00FF1A37"/>
    <w:rsid w:val="00FF211F"/>
    <w:rsid w:val="00FF2568"/>
    <w:rsid w:val="00FF2859"/>
    <w:rsid w:val="00FF2976"/>
    <w:rsid w:val="00FF2EBE"/>
    <w:rsid w:val="00FF34EE"/>
    <w:rsid w:val="00FF3769"/>
    <w:rsid w:val="00FF383D"/>
    <w:rsid w:val="00FF3F78"/>
    <w:rsid w:val="00FF4074"/>
    <w:rsid w:val="00FF4B7B"/>
    <w:rsid w:val="00FF4E41"/>
    <w:rsid w:val="00FF4F87"/>
    <w:rsid w:val="00FF52EB"/>
    <w:rsid w:val="00FF55A0"/>
    <w:rsid w:val="00FF62D2"/>
    <w:rsid w:val="00FF7682"/>
    <w:rsid w:val="00FF7AEB"/>
    <w:rsid w:val="030129D9"/>
    <w:rsid w:val="081C12B5"/>
    <w:rsid w:val="08D98485"/>
    <w:rsid w:val="155A1B12"/>
    <w:rsid w:val="15914F32"/>
    <w:rsid w:val="1B27BF7D"/>
    <w:rsid w:val="2144A951"/>
    <w:rsid w:val="24050365"/>
    <w:rsid w:val="267BE37B"/>
    <w:rsid w:val="2C209D39"/>
    <w:rsid w:val="3091AAC5"/>
    <w:rsid w:val="34C0677E"/>
    <w:rsid w:val="384D70B8"/>
    <w:rsid w:val="3ADE3D94"/>
    <w:rsid w:val="400AF69B"/>
    <w:rsid w:val="43242DD3"/>
    <w:rsid w:val="452F2586"/>
    <w:rsid w:val="47B176A6"/>
    <w:rsid w:val="4D7C39FD"/>
    <w:rsid w:val="58B96796"/>
    <w:rsid w:val="5BCF031F"/>
    <w:rsid w:val="5CE1020D"/>
    <w:rsid w:val="63852D9E"/>
    <w:rsid w:val="66461492"/>
    <w:rsid w:val="6A13D503"/>
    <w:rsid w:val="70039D97"/>
    <w:rsid w:val="733F2B55"/>
    <w:rsid w:val="78412D91"/>
    <w:rsid w:val="7C461F89"/>
    <w:rsid w:val="7F98540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8433"/>
    <o:shapelayout v:ext="edit">
      <o:idmap v:ext="edit" data="1"/>
    </o:shapelayout>
  </w:shapeDefaults>
  <w:decimalSymbol w:val="."/>
  <w:listSeparator w:val=","/>
  <w14:docId w14:val="493ACF98"/>
  <w15:docId w15:val="{FD5E9CCD-84D9-492C-9E2F-6B70C03D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283"/>
    <w:pPr>
      <w:jc w:val="both"/>
    </w:pPr>
    <w:rPr>
      <w:lang w:val="en-GB"/>
    </w:rPr>
  </w:style>
  <w:style w:type="paragraph" w:styleId="Heading1">
    <w:name w:val="heading 1"/>
    <w:basedOn w:val="Normal"/>
    <w:next w:val="Normal"/>
    <w:link w:val="Heading1Char"/>
    <w:uiPriority w:val="99"/>
    <w:qFormat/>
    <w:rsid w:val="00B220D2"/>
    <w:pPr>
      <w:keepNext/>
      <w:keepLines/>
      <w:pageBreakBefore/>
      <w:numPr>
        <w:numId w:val="4"/>
      </w:numPr>
      <w:spacing w:before="480" w:after="120"/>
      <w:outlineLvl w:val="0"/>
    </w:pPr>
    <w:rPr>
      <w:rFonts w:asciiTheme="majorHAnsi" w:eastAsiaTheme="majorEastAsia" w:hAnsiTheme="majorHAnsi" w:cstheme="majorBidi"/>
      <w:b/>
      <w:bCs/>
      <w:smallCaps/>
      <w:color w:val="000000" w:themeColor="text1"/>
      <w:sz w:val="32"/>
      <w:szCs w:val="28"/>
    </w:rPr>
  </w:style>
  <w:style w:type="paragraph" w:styleId="Heading2">
    <w:name w:val="heading 2"/>
    <w:basedOn w:val="Normal"/>
    <w:next w:val="Normal"/>
    <w:link w:val="Heading2Char"/>
    <w:uiPriority w:val="99"/>
    <w:unhideWhenUsed/>
    <w:qFormat/>
    <w:rsid w:val="00652187"/>
    <w:pPr>
      <w:keepNext/>
      <w:keepLines/>
      <w:numPr>
        <w:ilvl w:val="1"/>
        <w:numId w:val="4"/>
      </w:numPr>
      <w:spacing w:before="240" w:after="120"/>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B220D2"/>
    <w:pPr>
      <w:keepNext/>
      <w:keepLines/>
      <w:numPr>
        <w:ilvl w:val="2"/>
        <w:numId w:val="4"/>
      </w:numPr>
      <w:spacing w:before="120" w:after="120"/>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652187"/>
    <w:pPr>
      <w:keepNext/>
      <w:keepLines/>
      <w:numPr>
        <w:ilvl w:val="3"/>
        <w:numId w:val="4"/>
      </w:numPr>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numPr>
        <w:ilvl w:val="4"/>
        <w:numId w:val="4"/>
      </w:numPr>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numPr>
        <w:ilvl w:val="5"/>
        <w:numId w:val="4"/>
      </w:numPr>
      <w:spacing w:before="200" w:after="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6C708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numPr>
        <w:ilvl w:val="7"/>
        <w:numId w:val="4"/>
      </w:numPr>
      <w:spacing w:before="200" w:after="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0D2"/>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B220D2"/>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6343B0"/>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semiHidden/>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aliases w:val="bulletit taulukoissa,Lijstalinea,#Listenabsatz,Párrafo de lista1,Liststycke,List Paragraph1,List Paragraph11,Paragrafo elenco,P?rrafo de lista,P?rrafo de lista1,Aufzählung,Equipment,Figure_name,Numbered Indented Text,b1"/>
    <w:basedOn w:val="Normal"/>
    <w:link w:val="ListParagraphChar1"/>
    <w:uiPriority w:val="34"/>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semiHidden/>
    <w:unhideWhenUsed/>
    <w:qFormat/>
    <w:rsid w:val="006C7081"/>
    <w:pPr>
      <w:numPr>
        <w:numId w:val="0"/>
      </w:numPr>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D81F16"/>
    <w:pPr>
      <w:tabs>
        <w:tab w:val="left" w:pos="44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652187"/>
    <w:pPr>
      <w:tabs>
        <w:tab w:val="left" w:pos="880"/>
        <w:tab w:val="right" w:leader="dot" w:pos="9062"/>
      </w:tabs>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basedOn w:val="TableNormal"/>
    <w:uiPriority w:val="59"/>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basedOn w:val="DefaultParagraphFont"/>
    <w:link w:val="Listenabsatz1"/>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723C31"/>
    <w:pPr>
      <w:numPr>
        <w:numId w:val="2"/>
      </w:numPr>
      <w:spacing w:after="120" w:line="360" w:lineRule="auto"/>
    </w:pPr>
    <w:rPr>
      <w:rFonts w:eastAsia="Times New Roman" w:cs="Times New Roman"/>
      <w:szCs w:val="24"/>
      <w:lang w:eastAsia="de-DE"/>
    </w:rPr>
  </w:style>
  <w:style w:type="character" w:styleId="CommentReference">
    <w:name w:val="annotation reference"/>
    <w:aliases w:val="Stinking Styles6"/>
    <w:basedOn w:val="DefaultParagraphFont"/>
    <w:rsid w:val="00CA4078"/>
    <w:rPr>
      <w:rFonts w:cs="Times New Roman"/>
      <w:sz w:val="16"/>
    </w:rPr>
  </w:style>
  <w:style w:type="paragraph" w:styleId="CommentText">
    <w:name w:val="annotation text"/>
    <w:aliases w:val="Stinking Styles5"/>
    <w:basedOn w:val="Normal"/>
    <w:link w:val="CommentTextChar1"/>
    <w:qFormat/>
    <w:rsid w:val="00715EBE"/>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rsid w:val="00CA4078"/>
    <w:rPr>
      <w:rFonts w:ascii="Arial" w:eastAsia="Times New Roman" w:hAnsi="Arial" w:cs="Times New Roman"/>
      <w:sz w:val="20"/>
      <w:szCs w:val="20"/>
      <w:lang w:val="en-GB" w:eastAsia="de-DE"/>
    </w:rPr>
  </w:style>
  <w:style w:type="character" w:customStyle="1" w:styleId="ListParagraphChar1">
    <w:name w:val="List Paragraph Char1"/>
    <w:aliases w:val="bulletit taulukoissa Char,Lijstalinea Char,#Listenabsatz Char,Párrafo de lista1 Char,Liststycke Char,List Paragraph1 Char,List Paragraph11 Char,Paragrafo elenco Char,P?rrafo de lista Char,P?rrafo de lista1 Char,Aufzählung Char"/>
    <w:basedOn w:val="DefaultParagraphFont"/>
    <w:link w:val="ListParagraph"/>
    <w:uiPriority w:val="34"/>
    <w:qFormat/>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semiHidden/>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semiHidden/>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semiHidden/>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semiHidden/>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5"/>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6"/>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7"/>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7"/>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7"/>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7"/>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7"/>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7"/>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7"/>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7"/>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7"/>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377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120" w:line="360" w:lineRule="atLeast"/>
      <w:ind w:left="720" w:hanging="720"/>
      <w:textAlignment w:val="baseline"/>
    </w:pPr>
    <w:rPr>
      <w:rFonts w:ascii="Times New Roman" w:eastAsia="Times New Roman" w:hAnsi="Times New Roman" w:cs="Times New Roman"/>
      <w:color w:val="000000"/>
      <w:szCs w:val="20"/>
      <w:lang w:val="en-US" w:eastAsia="en-GB"/>
    </w:rPr>
  </w:style>
  <w:style w:type="paragraph" w:styleId="ListBullet4">
    <w:name w:val="List Bullet 4"/>
    <w:basedOn w:val="Normal"/>
    <w:autoRedefine/>
    <w:rsid w:val="00723C31"/>
    <w:pPr>
      <w:widowControl w:val="0"/>
      <w:numPr>
        <w:numId w:val="11"/>
      </w:numPr>
      <w:adjustRightInd w:val="0"/>
      <w:spacing w:after="60" w:line="360" w:lineRule="atLeast"/>
      <w:textAlignment w:val="baseline"/>
    </w:pPr>
    <w:rPr>
      <w:rFonts w:ascii="Times New Roman" w:eastAsia="Times New Roman" w:hAnsi="Times New Roman" w:cs="Times New Roman"/>
      <w:szCs w:val="20"/>
      <w:lang w:val="en-US" w:eastAsia="en-GB"/>
    </w:rPr>
  </w:style>
  <w:style w:type="paragraph" w:customStyle="1" w:styleId="normal2">
    <w:name w:val="normal2"/>
    <w:basedOn w:val="Normal"/>
    <w:rsid w:val="00852782"/>
    <w:pPr>
      <w:spacing w:before="120" w:after="0" w:line="312" w:lineRule="atLeast"/>
    </w:pPr>
    <w:rPr>
      <w:rFonts w:ascii="Times New Roman" w:eastAsia="Times New Roman" w:hAnsi="Times New Roman" w:cs="Times New Roman"/>
      <w:sz w:val="24"/>
      <w:szCs w:val="24"/>
      <w:lang w:val="sl-SI" w:eastAsia="sl-SI"/>
    </w:rPr>
  </w:style>
  <w:style w:type="paragraph" w:customStyle="1" w:styleId="textregular">
    <w:name w:val="text regular"/>
    <w:link w:val="textregularZchn"/>
    <w:qFormat/>
    <w:rsid w:val="00511227"/>
    <w:pPr>
      <w:spacing w:after="120" w:line="240" w:lineRule="auto"/>
      <w:jc w:val="both"/>
    </w:pPr>
    <w:rPr>
      <w:rFonts w:ascii="Times New Roman" w:eastAsia="Times New Roman" w:hAnsi="Times New Roman" w:cs="Times New Roman"/>
      <w:color w:val="000000" w:themeColor="text1"/>
      <w:szCs w:val="19"/>
      <w:lang w:val="en-GB" w:eastAsia="de-DE"/>
    </w:rPr>
  </w:style>
  <w:style w:type="character" w:customStyle="1" w:styleId="textregularZchn">
    <w:name w:val="text regular Zchn"/>
    <w:basedOn w:val="DefaultParagraphFont"/>
    <w:link w:val="textregular"/>
    <w:locked/>
    <w:rsid w:val="00511227"/>
    <w:rPr>
      <w:rFonts w:ascii="Times New Roman" w:eastAsia="Times New Roman" w:hAnsi="Times New Roman" w:cs="Times New Roman"/>
      <w:color w:val="000000" w:themeColor="text1"/>
      <w:szCs w:val="19"/>
      <w:lang w:val="en-GB" w:eastAsia="de-DE"/>
    </w:rPr>
  </w:style>
  <w:style w:type="table" w:styleId="PlainTable3">
    <w:name w:val="Plain Table 3"/>
    <w:basedOn w:val="TableNormal"/>
    <w:uiPriority w:val="43"/>
    <w:rsid w:val="00E005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FC2571"/>
    <w:rPr>
      <w:color w:val="800080" w:themeColor="followedHyperlink"/>
      <w:u w:val="single"/>
    </w:rPr>
  </w:style>
  <w:style w:type="paragraph" w:styleId="ListNumber2">
    <w:name w:val="List Number 2"/>
    <w:basedOn w:val="Normal"/>
    <w:uiPriority w:val="99"/>
    <w:rsid w:val="001D6C78"/>
    <w:pPr>
      <w:overflowPunct w:val="0"/>
      <w:autoSpaceDE w:val="0"/>
      <w:autoSpaceDN w:val="0"/>
      <w:adjustRightInd w:val="0"/>
      <w:spacing w:after="180" w:line="240" w:lineRule="auto"/>
      <w:ind w:left="566" w:hanging="283"/>
    </w:pPr>
    <w:rPr>
      <w:rFonts w:ascii="Verdana" w:eastAsia="Times New Roman" w:hAnsi="Verdana" w:cs="Times New Roman"/>
      <w:sz w:val="18"/>
      <w:szCs w:val="18"/>
      <w:lang w:eastAsia="nb-NO"/>
    </w:rPr>
  </w:style>
  <w:style w:type="table" w:customStyle="1" w:styleId="EinfacheTabelle31">
    <w:name w:val="Einfache Tabelle 31"/>
    <w:basedOn w:val="TableNormal"/>
    <w:uiPriority w:val="43"/>
    <w:rsid w:val="00AD04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ties">
    <w:name w:val="Parties"/>
    <w:basedOn w:val="Normal"/>
    <w:uiPriority w:val="99"/>
    <w:rsid w:val="00764C08"/>
    <w:pPr>
      <w:numPr>
        <w:numId w:val="90"/>
      </w:numPr>
      <w:spacing w:after="140" w:line="290" w:lineRule="auto"/>
    </w:pPr>
    <w:rPr>
      <w:rFonts w:ascii="Arial" w:eastAsia="Times New Roman" w:hAnsi="Arial" w:cs="Times New Roman"/>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8050">
      <w:bodyDiv w:val="1"/>
      <w:marLeft w:val="0"/>
      <w:marRight w:val="0"/>
      <w:marTop w:val="0"/>
      <w:marBottom w:val="0"/>
      <w:divBdr>
        <w:top w:val="none" w:sz="0" w:space="0" w:color="auto"/>
        <w:left w:val="none" w:sz="0" w:space="0" w:color="auto"/>
        <w:bottom w:val="none" w:sz="0" w:space="0" w:color="auto"/>
        <w:right w:val="none" w:sz="0" w:space="0" w:color="auto"/>
      </w:divBdr>
    </w:div>
    <w:div w:id="57364670">
      <w:bodyDiv w:val="1"/>
      <w:marLeft w:val="0"/>
      <w:marRight w:val="0"/>
      <w:marTop w:val="0"/>
      <w:marBottom w:val="0"/>
      <w:divBdr>
        <w:top w:val="none" w:sz="0" w:space="0" w:color="auto"/>
        <w:left w:val="none" w:sz="0" w:space="0" w:color="auto"/>
        <w:bottom w:val="none" w:sz="0" w:space="0" w:color="auto"/>
        <w:right w:val="none" w:sz="0" w:space="0" w:color="auto"/>
      </w:divBdr>
    </w:div>
    <w:div w:id="60101871">
      <w:bodyDiv w:val="1"/>
      <w:marLeft w:val="0"/>
      <w:marRight w:val="0"/>
      <w:marTop w:val="0"/>
      <w:marBottom w:val="0"/>
      <w:divBdr>
        <w:top w:val="none" w:sz="0" w:space="0" w:color="auto"/>
        <w:left w:val="none" w:sz="0" w:space="0" w:color="auto"/>
        <w:bottom w:val="none" w:sz="0" w:space="0" w:color="auto"/>
        <w:right w:val="none" w:sz="0" w:space="0" w:color="auto"/>
      </w:divBdr>
    </w:div>
    <w:div w:id="62456514">
      <w:bodyDiv w:val="1"/>
      <w:marLeft w:val="0"/>
      <w:marRight w:val="0"/>
      <w:marTop w:val="0"/>
      <w:marBottom w:val="0"/>
      <w:divBdr>
        <w:top w:val="none" w:sz="0" w:space="0" w:color="auto"/>
        <w:left w:val="none" w:sz="0" w:space="0" w:color="auto"/>
        <w:bottom w:val="none" w:sz="0" w:space="0" w:color="auto"/>
        <w:right w:val="none" w:sz="0" w:space="0" w:color="auto"/>
      </w:divBdr>
      <w:divsChild>
        <w:div w:id="1017924757">
          <w:marLeft w:val="0"/>
          <w:marRight w:val="0"/>
          <w:marTop w:val="0"/>
          <w:marBottom w:val="0"/>
          <w:divBdr>
            <w:top w:val="none" w:sz="0" w:space="0" w:color="auto"/>
            <w:left w:val="none" w:sz="0" w:space="0" w:color="auto"/>
            <w:bottom w:val="none" w:sz="0" w:space="0" w:color="auto"/>
            <w:right w:val="none" w:sz="0" w:space="0" w:color="auto"/>
          </w:divBdr>
          <w:divsChild>
            <w:div w:id="1012949514">
              <w:marLeft w:val="0"/>
              <w:marRight w:val="0"/>
              <w:marTop w:val="0"/>
              <w:marBottom w:val="0"/>
              <w:divBdr>
                <w:top w:val="none" w:sz="0" w:space="0" w:color="auto"/>
                <w:left w:val="none" w:sz="0" w:space="0" w:color="auto"/>
                <w:bottom w:val="none" w:sz="0" w:space="0" w:color="auto"/>
                <w:right w:val="none" w:sz="0" w:space="0" w:color="auto"/>
              </w:divBdr>
              <w:divsChild>
                <w:div w:id="1814180732">
                  <w:marLeft w:val="0"/>
                  <w:marRight w:val="0"/>
                  <w:marTop w:val="0"/>
                  <w:marBottom w:val="0"/>
                  <w:divBdr>
                    <w:top w:val="none" w:sz="0" w:space="0" w:color="auto"/>
                    <w:left w:val="none" w:sz="0" w:space="0" w:color="auto"/>
                    <w:bottom w:val="none" w:sz="0" w:space="0" w:color="auto"/>
                    <w:right w:val="none" w:sz="0" w:space="0" w:color="auto"/>
                  </w:divBdr>
                  <w:divsChild>
                    <w:div w:id="799301261">
                      <w:marLeft w:val="1"/>
                      <w:marRight w:val="1"/>
                      <w:marTop w:val="0"/>
                      <w:marBottom w:val="0"/>
                      <w:divBdr>
                        <w:top w:val="none" w:sz="0" w:space="0" w:color="auto"/>
                        <w:left w:val="none" w:sz="0" w:space="0" w:color="auto"/>
                        <w:bottom w:val="none" w:sz="0" w:space="0" w:color="auto"/>
                        <w:right w:val="none" w:sz="0" w:space="0" w:color="auto"/>
                      </w:divBdr>
                      <w:divsChild>
                        <w:div w:id="809518546">
                          <w:marLeft w:val="0"/>
                          <w:marRight w:val="0"/>
                          <w:marTop w:val="0"/>
                          <w:marBottom w:val="0"/>
                          <w:divBdr>
                            <w:top w:val="none" w:sz="0" w:space="0" w:color="auto"/>
                            <w:left w:val="none" w:sz="0" w:space="0" w:color="auto"/>
                            <w:bottom w:val="none" w:sz="0" w:space="0" w:color="auto"/>
                            <w:right w:val="none" w:sz="0" w:space="0" w:color="auto"/>
                          </w:divBdr>
                          <w:divsChild>
                            <w:div w:id="835653821">
                              <w:marLeft w:val="0"/>
                              <w:marRight w:val="0"/>
                              <w:marTop w:val="0"/>
                              <w:marBottom w:val="360"/>
                              <w:divBdr>
                                <w:top w:val="none" w:sz="0" w:space="0" w:color="auto"/>
                                <w:left w:val="none" w:sz="0" w:space="0" w:color="auto"/>
                                <w:bottom w:val="none" w:sz="0" w:space="0" w:color="auto"/>
                                <w:right w:val="none" w:sz="0" w:space="0" w:color="auto"/>
                              </w:divBdr>
                              <w:divsChild>
                                <w:div w:id="868103246">
                                  <w:marLeft w:val="0"/>
                                  <w:marRight w:val="0"/>
                                  <w:marTop w:val="0"/>
                                  <w:marBottom w:val="0"/>
                                  <w:divBdr>
                                    <w:top w:val="none" w:sz="0" w:space="0" w:color="auto"/>
                                    <w:left w:val="none" w:sz="0" w:space="0" w:color="auto"/>
                                    <w:bottom w:val="none" w:sz="0" w:space="0" w:color="auto"/>
                                    <w:right w:val="none" w:sz="0" w:space="0" w:color="auto"/>
                                  </w:divBdr>
                                  <w:divsChild>
                                    <w:div w:id="2074886627">
                                      <w:marLeft w:val="0"/>
                                      <w:marRight w:val="0"/>
                                      <w:marTop w:val="0"/>
                                      <w:marBottom w:val="0"/>
                                      <w:divBdr>
                                        <w:top w:val="none" w:sz="0" w:space="0" w:color="auto"/>
                                        <w:left w:val="none" w:sz="0" w:space="0" w:color="auto"/>
                                        <w:bottom w:val="none" w:sz="0" w:space="0" w:color="auto"/>
                                        <w:right w:val="none" w:sz="0" w:space="0" w:color="auto"/>
                                      </w:divBdr>
                                      <w:divsChild>
                                        <w:div w:id="1689989330">
                                          <w:marLeft w:val="0"/>
                                          <w:marRight w:val="0"/>
                                          <w:marTop w:val="0"/>
                                          <w:marBottom w:val="0"/>
                                          <w:divBdr>
                                            <w:top w:val="none" w:sz="0" w:space="0" w:color="auto"/>
                                            <w:left w:val="none" w:sz="0" w:space="0" w:color="auto"/>
                                            <w:bottom w:val="none" w:sz="0" w:space="0" w:color="auto"/>
                                            <w:right w:val="none" w:sz="0" w:space="0" w:color="auto"/>
                                          </w:divBdr>
                                          <w:divsChild>
                                            <w:div w:id="1213270980">
                                              <w:marLeft w:val="0"/>
                                              <w:marRight w:val="0"/>
                                              <w:marTop w:val="0"/>
                                              <w:marBottom w:val="0"/>
                                              <w:divBdr>
                                                <w:top w:val="none" w:sz="0" w:space="0" w:color="auto"/>
                                                <w:left w:val="none" w:sz="0" w:space="0" w:color="auto"/>
                                                <w:bottom w:val="none" w:sz="0" w:space="0" w:color="auto"/>
                                                <w:right w:val="none" w:sz="0" w:space="0" w:color="auto"/>
                                              </w:divBdr>
                                              <w:divsChild>
                                                <w:div w:id="2839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73750">
      <w:bodyDiv w:val="1"/>
      <w:marLeft w:val="0"/>
      <w:marRight w:val="0"/>
      <w:marTop w:val="0"/>
      <w:marBottom w:val="0"/>
      <w:divBdr>
        <w:top w:val="none" w:sz="0" w:space="0" w:color="auto"/>
        <w:left w:val="none" w:sz="0" w:space="0" w:color="auto"/>
        <w:bottom w:val="none" w:sz="0" w:space="0" w:color="auto"/>
        <w:right w:val="none" w:sz="0" w:space="0" w:color="auto"/>
      </w:divBdr>
      <w:divsChild>
        <w:div w:id="1010450043">
          <w:marLeft w:val="0"/>
          <w:marRight w:val="0"/>
          <w:marTop w:val="0"/>
          <w:marBottom w:val="0"/>
          <w:divBdr>
            <w:top w:val="none" w:sz="0" w:space="0" w:color="auto"/>
            <w:left w:val="none" w:sz="0" w:space="0" w:color="auto"/>
            <w:bottom w:val="none" w:sz="0" w:space="0" w:color="auto"/>
            <w:right w:val="none" w:sz="0" w:space="0" w:color="auto"/>
          </w:divBdr>
          <w:divsChild>
            <w:div w:id="281688186">
              <w:marLeft w:val="0"/>
              <w:marRight w:val="0"/>
              <w:marTop w:val="0"/>
              <w:marBottom w:val="0"/>
              <w:divBdr>
                <w:top w:val="none" w:sz="0" w:space="0" w:color="auto"/>
                <w:left w:val="none" w:sz="0" w:space="0" w:color="auto"/>
                <w:bottom w:val="none" w:sz="0" w:space="0" w:color="auto"/>
                <w:right w:val="none" w:sz="0" w:space="0" w:color="auto"/>
              </w:divBdr>
              <w:divsChild>
                <w:div w:id="531965488">
                  <w:marLeft w:val="0"/>
                  <w:marRight w:val="0"/>
                  <w:marTop w:val="0"/>
                  <w:marBottom w:val="0"/>
                  <w:divBdr>
                    <w:top w:val="none" w:sz="0" w:space="0" w:color="auto"/>
                    <w:left w:val="none" w:sz="0" w:space="0" w:color="auto"/>
                    <w:bottom w:val="none" w:sz="0" w:space="0" w:color="auto"/>
                    <w:right w:val="none" w:sz="0" w:space="0" w:color="auto"/>
                  </w:divBdr>
                  <w:divsChild>
                    <w:div w:id="1734615727">
                      <w:marLeft w:val="1"/>
                      <w:marRight w:val="1"/>
                      <w:marTop w:val="0"/>
                      <w:marBottom w:val="0"/>
                      <w:divBdr>
                        <w:top w:val="none" w:sz="0" w:space="0" w:color="auto"/>
                        <w:left w:val="none" w:sz="0" w:space="0" w:color="auto"/>
                        <w:bottom w:val="none" w:sz="0" w:space="0" w:color="auto"/>
                        <w:right w:val="none" w:sz="0" w:space="0" w:color="auto"/>
                      </w:divBdr>
                      <w:divsChild>
                        <w:div w:id="277375480">
                          <w:marLeft w:val="0"/>
                          <w:marRight w:val="0"/>
                          <w:marTop w:val="0"/>
                          <w:marBottom w:val="0"/>
                          <w:divBdr>
                            <w:top w:val="none" w:sz="0" w:space="0" w:color="auto"/>
                            <w:left w:val="none" w:sz="0" w:space="0" w:color="auto"/>
                            <w:bottom w:val="none" w:sz="0" w:space="0" w:color="auto"/>
                            <w:right w:val="none" w:sz="0" w:space="0" w:color="auto"/>
                          </w:divBdr>
                          <w:divsChild>
                            <w:div w:id="258949955">
                              <w:marLeft w:val="0"/>
                              <w:marRight w:val="0"/>
                              <w:marTop w:val="0"/>
                              <w:marBottom w:val="360"/>
                              <w:divBdr>
                                <w:top w:val="none" w:sz="0" w:space="0" w:color="auto"/>
                                <w:left w:val="none" w:sz="0" w:space="0" w:color="auto"/>
                                <w:bottom w:val="none" w:sz="0" w:space="0" w:color="auto"/>
                                <w:right w:val="none" w:sz="0" w:space="0" w:color="auto"/>
                              </w:divBdr>
                              <w:divsChild>
                                <w:div w:id="1123382471">
                                  <w:marLeft w:val="0"/>
                                  <w:marRight w:val="0"/>
                                  <w:marTop w:val="0"/>
                                  <w:marBottom w:val="0"/>
                                  <w:divBdr>
                                    <w:top w:val="none" w:sz="0" w:space="0" w:color="auto"/>
                                    <w:left w:val="none" w:sz="0" w:space="0" w:color="auto"/>
                                    <w:bottom w:val="none" w:sz="0" w:space="0" w:color="auto"/>
                                    <w:right w:val="none" w:sz="0" w:space="0" w:color="auto"/>
                                  </w:divBdr>
                                  <w:divsChild>
                                    <w:div w:id="1442185444">
                                      <w:marLeft w:val="0"/>
                                      <w:marRight w:val="0"/>
                                      <w:marTop w:val="0"/>
                                      <w:marBottom w:val="0"/>
                                      <w:divBdr>
                                        <w:top w:val="none" w:sz="0" w:space="0" w:color="auto"/>
                                        <w:left w:val="none" w:sz="0" w:space="0" w:color="auto"/>
                                        <w:bottom w:val="none" w:sz="0" w:space="0" w:color="auto"/>
                                        <w:right w:val="none" w:sz="0" w:space="0" w:color="auto"/>
                                      </w:divBdr>
                                      <w:divsChild>
                                        <w:div w:id="1580941555">
                                          <w:marLeft w:val="0"/>
                                          <w:marRight w:val="0"/>
                                          <w:marTop w:val="0"/>
                                          <w:marBottom w:val="0"/>
                                          <w:divBdr>
                                            <w:top w:val="none" w:sz="0" w:space="0" w:color="auto"/>
                                            <w:left w:val="none" w:sz="0" w:space="0" w:color="auto"/>
                                            <w:bottom w:val="none" w:sz="0" w:space="0" w:color="auto"/>
                                            <w:right w:val="none" w:sz="0" w:space="0" w:color="auto"/>
                                          </w:divBdr>
                                          <w:divsChild>
                                            <w:div w:id="1104181446">
                                              <w:marLeft w:val="0"/>
                                              <w:marRight w:val="0"/>
                                              <w:marTop w:val="0"/>
                                              <w:marBottom w:val="0"/>
                                              <w:divBdr>
                                                <w:top w:val="none" w:sz="0" w:space="0" w:color="auto"/>
                                                <w:left w:val="none" w:sz="0" w:space="0" w:color="auto"/>
                                                <w:bottom w:val="none" w:sz="0" w:space="0" w:color="auto"/>
                                                <w:right w:val="none" w:sz="0" w:space="0" w:color="auto"/>
                                              </w:divBdr>
                                              <w:divsChild>
                                                <w:div w:id="8600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92734">
      <w:bodyDiv w:val="1"/>
      <w:marLeft w:val="0"/>
      <w:marRight w:val="0"/>
      <w:marTop w:val="0"/>
      <w:marBottom w:val="0"/>
      <w:divBdr>
        <w:top w:val="none" w:sz="0" w:space="0" w:color="auto"/>
        <w:left w:val="none" w:sz="0" w:space="0" w:color="auto"/>
        <w:bottom w:val="none" w:sz="0" w:space="0" w:color="auto"/>
        <w:right w:val="none" w:sz="0" w:space="0" w:color="auto"/>
      </w:divBdr>
    </w:div>
    <w:div w:id="178928891">
      <w:bodyDiv w:val="1"/>
      <w:marLeft w:val="0"/>
      <w:marRight w:val="0"/>
      <w:marTop w:val="0"/>
      <w:marBottom w:val="0"/>
      <w:divBdr>
        <w:top w:val="none" w:sz="0" w:space="0" w:color="auto"/>
        <w:left w:val="none" w:sz="0" w:space="0" w:color="auto"/>
        <w:bottom w:val="none" w:sz="0" w:space="0" w:color="auto"/>
        <w:right w:val="none" w:sz="0" w:space="0" w:color="auto"/>
      </w:divBdr>
    </w:div>
    <w:div w:id="182598376">
      <w:bodyDiv w:val="1"/>
      <w:marLeft w:val="0"/>
      <w:marRight w:val="0"/>
      <w:marTop w:val="0"/>
      <w:marBottom w:val="0"/>
      <w:divBdr>
        <w:top w:val="none" w:sz="0" w:space="0" w:color="auto"/>
        <w:left w:val="none" w:sz="0" w:space="0" w:color="auto"/>
        <w:bottom w:val="none" w:sz="0" w:space="0" w:color="auto"/>
        <w:right w:val="none" w:sz="0" w:space="0" w:color="auto"/>
      </w:divBdr>
      <w:divsChild>
        <w:div w:id="1087725788">
          <w:marLeft w:val="0"/>
          <w:marRight w:val="0"/>
          <w:marTop w:val="0"/>
          <w:marBottom w:val="0"/>
          <w:divBdr>
            <w:top w:val="none" w:sz="0" w:space="0" w:color="auto"/>
            <w:left w:val="none" w:sz="0" w:space="0" w:color="auto"/>
            <w:bottom w:val="none" w:sz="0" w:space="0" w:color="auto"/>
            <w:right w:val="none" w:sz="0" w:space="0" w:color="auto"/>
          </w:divBdr>
          <w:divsChild>
            <w:div w:id="196087510">
              <w:marLeft w:val="0"/>
              <w:marRight w:val="0"/>
              <w:marTop w:val="0"/>
              <w:marBottom w:val="0"/>
              <w:divBdr>
                <w:top w:val="none" w:sz="0" w:space="0" w:color="auto"/>
                <w:left w:val="none" w:sz="0" w:space="0" w:color="auto"/>
                <w:bottom w:val="none" w:sz="0" w:space="0" w:color="auto"/>
                <w:right w:val="none" w:sz="0" w:space="0" w:color="auto"/>
              </w:divBdr>
              <w:divsChild>
                <w:div w:id="555239022">
                  <w:marLeft w:val="0"/>
                  <w:marRight w:val="0"/>
                  <w:marTop w:val="0"/>
                  <w:marBottom w:val="0"/>
                  <w:divBdr>
                    <w:top w:val="none" w:sz="0" w:space="0" w:color="auto"/>
                    <w:left w:val="none" w:sz="0" w:space="0" w:color="auto"/>
                    <w:bottom w:val="none" w:sz="0" w:space="0" w:color="auto"/>
                    <w:right w:val="none" w:sz="0" w:space="0" w:color="auto"/>
                  </w:divBdr>
                  <w:divsChild>
                    <w:div w:id="2079395605">
                      <w:marLeft w:val="1"/>
                      <w:marRight w:val="1"/>
                      <w:marTop w:val="0"/>
                      <w:marBottom w:val="0"/>
                      <w:divBdr>
                        <w:top w:val="none" w:sz="0" w:space="0" w:color="auto"/>
                        <w:left w:val="none" w:sz="0" w:space="0" w:color="auto"/>
                        <w:bottom w:val="none" w:sz="0" w:space="0" w:color="auto"/>
                        <w:right w:val="none" w:sz="0" w:space="0" w:color="auto"/>
                      </w:divBdr>
                      <w:divsChild>
                        <w:div w:id="1217740310">
                          <w:marLeft w:val="0"/>
                          <w:marRight w:val="0"/>
                          <w:marTop w:val="0"/>
                          <w:marBottom w:val="0"/>
                          <w:divBdr>
                            <w:top w:val="none" w:sz="0" w:space="0" w:color="auto"/>
                            <w:left w:val="none" w:sz="0" w:space="0" w:color="auto"/>
                            <w:bottom w:val="none" w:sz="0" w:space="0" w:color="auto"/>
                            <w:right w:val="none" w:sz="0" w:space="0" w:color="auto"/>
                          </w:divBdr>
                          <w:divsChild>
                            <w:div w:id="725185529">
                              <w:marLeft w:val="0"/>
                              <w:marRight w:val="0"/>
                              <w:marTop w:val="0"/>
                              <w:marBottom w:val="360"/>
                              <w:divBdr>
                                <w:top w:val="none" w:sz="0" w:space="0" w:color="auto"/>
                                <w:left w:val="none" w:sz="0" w:space="0" w:color="auto"/>
                                <w:bottom w:val="none" w:sz="0" w:space="0" w:color="auto"/>
                                <w:right w:val="none" w:sz="0" w:space="0" w:color="auto"/>
                              </w:divBdr>
                              <w:divsChild>
                                <w:div w:id="564414293">
                                  <w:marLeft w:val="0"/>
                                  <w:marRight w:val="0"/>
                                  <w:marTop w:val="0"/>
                                  <w:marBottom w:val="0"/>
                                  <w:divBdr>
                                    <w:top w:val="none" w:sz="0" w:space="0" w:color="auto"/>
                                    <w:left w:val="none" w:sz="0" w:space="0" w:color="auto"/>
                                    <w:bottom w:val="none" w:sz="0" w:space="0" w:color="auto"/>
                                    <w:right w:val="none" w:sz="0" w:space="0" w:color="auto"/>
                                  </w:divBdr>
                                  <w:divsChild>
                                    <w:div w:id="1415937691">
                                      <w:marLeft w:val="0"/>
                                      <w:marRight w:val="0"/>
                                      <w:marTop w:val="0"/>
                                      <w:marBottom w:val="0"/>
                                      <w:divBdr>
                                        <w:top w:val="none" w:sz="0" w:space="0" w:color="auto"/>
                                        <w:left w:val="none" w:sz="0" w:space="0" w:color="auto"/>
                                        <w:bottom w:val="none" w:sz="0" w:space="0" w:color="auto"/>
                                        <w:right w:val="none" w:sz="0" w:space="0" w:color="auto"/>
                                      </w:divBdr>
                                      <w:divsChild>
                                        <w:div w:id="579872089">
                                          <w:marLeft w:val="0"/>
                                          <w:marRight w:val="0"/>
                                          <w:marTop w:val="0"/>
                                          <w:marBottom w:val="0"/>
                                          <w:divBdr>
                                            <w:top w:val="none" w:sz="0" w:space="0" w:color="auto"/>
                                            <w:left w:val="none" w:sz="0" w:space="0" w:color="auto"/>
                                            <w:bottom w:val="none" w:sz="0" w:space="0" w:color="auto"/>
                                            <w:right w:val="none" w:sz="0" w:space="0" w:color="auto"/>
                                          </w:divBdr>
                                          <w:divsChild>
                                            <w:div w:id="514541974">
                                              <w:marLeft w:val="0"/>
                                              <w:marRight w:val="0"/>
                                              <w:marTop w:val="0"/>
                                              <w:marBottom w:val="0"/>
                                              <w:divBdr>
                                                <w:top w:val="none" w:sz="0" w:space="0" w:color="auto"/>
                                                <w:left w:val="none" w:sz="0" w:space="0" w:color="auto"/>
                                                <w:bottom w:val="none" w:sz="0" w:space="0" w:color="auto"/>
                                                <w:right w:val="none" w:sz="0" w:space="0" w:color="auto"/>
                                              </w:divBdr>
                                              <w:divsChild>
                                                <w:div w:id="754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128620">
      <w:bodyDiv w:val="1"/>
      <w:marLeft w:val="0"/>
      <w:marRight w:val="0"/>
      <w:marTop w:val="0"/>
      <w:marBottom w:val="0"/>
      <w:divBdr>
        <w:top w:val="none" w:sz="0" w:space="0" w:color="auto"/>
        <w:left w:val="none" w:sz="0" w:space="0" w:color="auto"/>
        <w:bottom w:val="none" w:sz="0" w:space="0" w:color="auto"/>
        <w:right w:val="none" w:sz="0" w:space="0" w:color="auto"/>
      </w:divBdr>
      <w:divsChild>
        <w:div w:id="1385374873">
          <w:marLeft w:val="0"/>
          <w:marRight w:val="0"/>
          <w:marTop w:val="0"/>
          <w:marBottom w:val="0"/>
          <w:divBdr>
            <w:top w:val="none" w:sz="0" w:space="0" w:color="auto"/>
            <w:left w:val="none" w:sz="0" w:space="0" w:color="auto"/>
            <w:bottom w:val="none" w:sz="0" w:space="0" w:color="auto"/>
            <w:right w:val="none" w:sz="0" w:space="0" w:color="auto"/>
          </w:divBdr>
          <w:divsChild>
            <w:div w:id="1011108855">
              <w:marLeft w:val="0"/>
              <w:marRight w:val="0"/>
              <w:marTop w:val="0"/>
              <w:marBottom w:val="0"/>
              <w:divBdr>
                <w:top w:val="none" w:sz="0" w:space="0" w:color="auto"/>
                <w:left w:val="none" w:sz="0" w:space="0" w:color="auto"/>
                <w:bottom w:val="none" w:sz="0" w:space="0" w:color="auto"/>
                <w:right w:val="none" w:sz="0" w:space="0" w:color="auto"/>
              </w:divBdr>
              <w:divsChild>
                <w:div w:id="866024758">
                  <w:marLeft w:val="0"/>
                  <w:marRight w:val="0"/>
                  <w:marTop w:val="0"/>
                  <w:marBottom w:val="0"/>
                  <w:divBdr>
                    <w:top w:val="none" w:sz="0" w:space="0" w:color="auto"/>
                    <w:left w:val="none" w:sz="0" w:space="0" w:color="auto"/>
                    <w:bottom w:val="none" w:sz="0" w:space="0" w:color="auto"/>
                    <w:right w:val="none" w:sz="0" w:space="0" w:color="auto"/>
                  </w:divBdr>
                  <w:divsChild>
                    <w:div w:id="1685206364">
                      <w:marLeft w:val="1"/>
                      <w:marRight w:val="1"/>
                      <w:marTop w:val="0"/>
                      <w:marBottom w:val="0"/>
                      <w:divBdr>
                        <w:top w:val="none" w:sz="0" w:space="0" w:color="auto"/>
                        <w:left w:val="none" w:sz="0" w:space="0" w:color="auto"/>
                        <w:bottom w:val="none" w:sz="0" w:space="0" w:color="auto"/>
                        <w:right w:val="none" w:sz="0" w:space="0" w:color="auto"/>
                      </w:divBdr>
                      <w:divsChild>
                        <w:div w:id="1500459244">
                          <w:marLeft w:val="0"/>
                          <w:marRight w:val="0"/>
                          <w:marTop w:val="0"/>
                          <w:marBottom w:val="0"/>
                          <w:divBdr>
                            <w:top w:val="none" w:sz="0" w:space="0" w:color="auto"/>
                            <w:left w:val="none" w:sz="0" w:space="0" w:color="auto"/>
                            <w:bottom w:val="none" w:sz="0" w:space="0" w:color="auto"/>
                            <w:right w:val="none" w:sz="0" w:space="0" w:color="auto"/>
                          </w:divBdr>
                          <w:divsChild>
                            <w:div w:id="237059922">
                              <w:marLeft w:val="0"/>
                              <w:marRight w:val="0"/>
                              <w:marTop w:val="0"/>
                              <w:marBottom w:val="360"/>
                              <w:divBdr>
                                <w:top w:val="none" w:sz="0" w:space="0" w:color="auto"/>
                                <w:left w:val="none" w:sz="0" w:space="0" w:color="auto"/>
                                <w:bottom w:val="none" w:sz="0" w:space="0" w:color="auto"/>
                                <w:right w:val="none" w:sz="0" w:space="0" w:color="auto"/>
                              </w:divBdr>
                              <w:divsChild>
                                <w:div w:id="1214316584">
                                  <w:marLeft w:val="0"/>
                                  <w:marRight w:val="0"/>
                                  <w:marTop w:val="0"/>
                                  <w:marBottom w:val="0"/>
                                  <w:divBdr>
                                    <w:top w:val="none" w:sz="0" w:space="0" w:color="auto"/>
                                    <w:left w:val="none" w:sz="0" w:space="0" w:color="auto"/>
                                    <w:bottom w:val="none" w:sz="0" w:space="0" w:color="auto"/>
                                    <w:right w:val="none" w:sz="0" w:space="0" w:color="auto"/>
                                  </w:divBdr>
                                  <w:divsChild>
                                    <w:div w:id="750469343">
                                      <w:marLeft w:val="0"/>
                                      <w:marRight w:val="0"/>
                                      <w:marTop w:val="0"/>
                                      <w:marBottom w:val="0"/>
                                      <w:divBdr>
                                        <w:top w:val="none" w:sz="0" w:space="0" w:color="auto"/>
                                        <w:left w:val="none" w:sz="0" w:space="0" w:color="auto"/>
                                        <w:bottom w:val="none" w:sz="0" w:space="0" w:color="auto"/>
                                        <w:right w:val="none" w:sz="0" w:space="0" w:color="auto"/>
                                      </w:divBdr>
                                      <w:divsChild>
                                        <w:div w:id="121122930">
                                          <w:marLeft w:val="0"/>
                                          <w:marRight w:val="0"/>
                                          <w:marTop w:val="0"/>
                                          <w:marBottom w:val="0"/>
                                          <w:divBdr>
                                            <w:top w:val="none" w:sz="0" w:space="0" w:color="auto"/>
                                            <w:left w:val="none" w:sz="0" w:space="0" w:color="auto"/>
                                            <w:bottom w:val="none" w:sz="0" w:space="0" w:color="auto"/>
                                            <w:right w:val="none" w:sz="0" w:space="0" w:color="auto"/>
                                          </w:divBdr>
                                          <w:divsChild>
                                            <w:div w:id="873464195">
                                              <w:marLeft w:val="0"/>
                                              <w:marRight w:val="0"/>
                                              <w:marTop w:val="0"/>
                                              <w:marBottom w:val="0"/>
                                              <w:divBdr>
                                                <w:top w:val="none" w:sz="0" w:space="0" w:color="auto"/>
                                                <w:left w:val="none" w:sz="0" w:space="0" w:color="auto"/>
                                                <w:bottom w:val="none" w:sz="0" w:space="0" w:color="auto"/>
                                                <w:right w:val="none" w:sz="0" w:space="0" w:color="auto"/>
                                              </w:divBdr>
                                              <w:divsChild>
                                                <w:div w:id="5208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3153">
      <w:bodyDiv w:val="1"/>
      <w:marLeft w:val="0"/>
      <w:marRight w:val="0"/>
      <w:marTop w:val="0"/>
      <w:marBottom w:val="0"/>
      <w:divBdr>
        <w:top w:val="none" w:sz="0" w:space="0" w:color="auto"/>
        <w:left w:val="none" w:sz="0" w:space="0" w:color="auto"/>
        <w:bottom w:val="none" w:sz="0" w:space="0" w:color="auto"/>
        <w:right w:val="none" w:sz="0" w:space="0" w:color="auto"/>
      </w:divBdr>
      <w:divsChild>
        <w:div w:id="27530854">
          <w:marLeft w:val="446"/>
          <w:marRight w:val="0"/>
          <w:marTop w:val="0"/>
          <w:marBottom w:val="0"/>
          <w:divBdr>
            <w:top w:val="none" w:sz="0" w:space="0" w:color="auto"/>
            <w:left w:val="none" w:sz="0" w:space="0" w:color="auto"/>
            <w:bottom w:val="none" w:sz="0" w:space="0" w:color="auto"/>
            <w:right w:val="none" w:sz="0" w:space="0" w:color="auto"/>
          </w:divBdr>
        </w:div>
        <w:div w:id="391779450">
          <w:marLeft w:val="446"/>
          <w:marRight w:val="0"/>
          <w:marTop w:val="0"/>
          <w:marBottom w:val="0"/>
          <w:divBdr>
            <w:top w:val="none" w:sz="0" w:space="0" w:color="auto"/>
            <w:left w:val="none" w:sz="0" w:space="0" w:color="auto"/>
            <w:bottom w:val="none" w:sz="0" w:space="0" w:color="auto"/>
            <w:right w:val="none" w:sz="0" w:space="0" w:color="auto"/>
          </w:divBdr>
        </w:div>
        <w:div w:id="460346165">
          <w:marLeft w:val="446"/>
          <w:marRight w:val="0"/>
          <w:marTop w:val="0"/>
          <w:marBottom w:val="0"/>
          <w:divBdr>
            <w:top w:val="none" w:sz="0" w:space="0" w:color="auto"/>
            <w:left w:val="none" w:sz="0" w:space="0" w:color="auto"/>
            <w:bottom w:val="none" w:sz="0" w:space="0" w:color="auto"/>
            <w:right w:val="none" w:sz="0" w:space="0" w:color="auto"/>
          </w:divBdr>
        </w:div>
        <w:div w:id="270280214">
          <w:marLeft w:val="1166"/>
          <w:marRight w:val="0"/>
          <w:marTop w:val="0"/>
          <w:marBottom w:val="0"/>
          <w:divBdr>
            <w:top w:val="none" w:sz="0" w:space="0" w:color="auto"/>
            <w:left w:val="none" w:sz="0" w:space="0" w:color="auto"/>
            <w:bottom w:val="none" w:sz="0" w:space="0" w:color="auto"/>
            <w:right w:val="none" w:sz="0" w:space="0" w:color="auto"/>
          </w:divBdr>
        </w:div>
        <w:div w:id="846674569">
          <w:marLeft w:val="1166"/>
          <w:marRight w:val="0"/>
          <w:marTop w:val="0"/>
          <w:marBottom w:val="0"/>
          <w:divBdr>
            <w:top w:val="none" w:sz="0" w:space="0" w:color="auto"/>
            <w:left w:val="none" w:sz="0" w:space="0" w:color="auto"/>
            <w:bottom w:val="none" w:sz="0" w:space="0" w:color="auto"/>
            <w:right w:val="none" w:sz="0" w:space="0" w:color="auto"/>
          </w:divBdr>
        </w:div>
        <w:div w:id="2019891700">
          <w:marLeft w:val="1166"/>
          <w:marRight w:val="0"/>
          <w:marTop w:val="0"/>
          <w:marBottom w:val="0"/>
          <w:divBdr>
            <w:top w:val="none" w:sz="0" w:space="0" w:color="auto"/>
            <w:left w:val="none" w:sz="0" w:space="0" w:color="auto"/>
            <w:bottom w:val="none" w:sz="0" w:space="0" w:color="auto"/>
            <w:right w:val="none" w:sz="0" w:space="0" w:color="auto"/>
          </w:divBdr>
        </w:div>
        <w:div w:id="829909781">
          <w:marLeft w:val="446"/>
          <w:marRight w:val="0"/>
          <w:marTop w:val="0"/>
          <w:marBottom w:val="0"/>
          <w:divBdr>
            <w:top w:val="none" w:sz="0" w:space="0" w:color="auto"/>
            <w:left w:val="none" w:sz="0" w:space="0" w:color="auto"/>
            <w:bottom w:val="none" w:sz="0" w:space="0" w:color="auto"/>
            <w:right w:val="none" w:sz="0" w:space="0" w:color="auto"/>
          </w:divBdr>
        </w:div>
        <w:div w:id="680473466">
          <w:marLeft w:val="1166"/>
          <w:marRight w:val="0"/>
          <w:marTop w:val="0"/>
          <w:marBottom w:val="0"/>
          <w:divBdr>
            <w:top w:val="none" w:sz="0" w:space="0" w:color="auto"/>
            <w:left w:val="none" w:sz="0" w:space="0" w:color="auto"/>
            <w:bottom w:val="none" w:sz="0" w:space="0" w:color="auto"/>
            <w:right w:val="none" w:sz="0" w:space="0" w:color="auto"/>
          </w:divBdr>
        </w:div>
        <w:div w:id="1256744914">
          <w:marLeft w:val="1166"/>
          <w:marRight w:val="0"/>
          <w:marTop w:val="0"/>
          <w:marBottom w:val="0"/>
          <w:divBdr>
            <w:top w:val="none" w:sz="0" w:space="0" w:color="auto"/>
            <w:left w:val="none" w:sz="0" w:space="0" w:color="auto"/>
            <w:bottom w:val="none" w:sz="0" w:space="0" w:color="auto"/>
            <w:right w:val="none" w:sz="0" w:space="0" w:color="auto"/>
          </w:divBdr>
        </w:div>
        <w:div w:id="1828667899">
          <w:marLeft w:val="1166"/>
          <w:marRight w:val="0"/>
          <w:marTop w:val="0"/>
          <w:marBottom w:val="0"/>
          <w:divBdr>
            <w:top w:val="none" w:sz="0" w:space="0" w:color="auto"/>
            <w:left w:val="none" w:sz="0" w:space="0" w:color="auto"/>
            <w:bottom w:val="none" w:sz="0" w:space="0" w:color="auto"/>
            <w:right w:val="none" w:sz="0" w:space="0" w:color="auto"/>
          </w:divBdr>
        </w:div>
        <w:div w:id="674379115">
          <w:marLeft w:val="1166"/>
          <w:marRight w:val="0"/>
          <w:marTop w:val="0"/>
          <w:marBottom w:val="0"/>
          <w:divBdr>
            <w:top w:val="none" w:sz="0" w:space="0" w:color="auto"/>
            <w:left w:val="none" w:sz="0" w:space="0" w:color="auto"/>
            <w:bottom w:val="none" w:sz="0" w:space="0" w:color="auto"/>
            <w:right w:val="none" w:sz="0" w:space="0" w:color="auto"/>
          </w:divBdr>
        </w:div>
        <w:div w:id="737483813">
          <w:marLeft w:val="1166"/>
          <w:marRight w:val="0"/>
          <w:marTop w:val="0"/>
          <w:marBottom w:val="0"/>
          <w:divBdr>
            <w:top w:val="none" w:sz="0" w:space="0" w:color="auto"/>
            <w:left w:val="none" w:sz="0" w:space="0" w:color="auto"/>
            <w:bottom w:val="none" w:sz="0" w:space="0" w:color="auto"/>
            <w:right w:val="none" w:sz="0" w:space="0" w:color="auto"/>
          </w:divBdr>
        </w:div>
        <w:div w:id="2042972626">
          <w:marLeft w:val="446"/>
          <w:marRight w:val="0"/>
          <w:marTop w:val="0"/>
          <w:marBottom w:val="0"/>
          <w:divBdr>
            <w:top w:val="none" w:sz="0" w:space="0" w:color="auto"/>
            <w:left w:val="none" w:sz="0" w:space="0" w:color="auto"/>
            <w:bottom w:val="none" w:sz="0" w:space="0" w:color="auto"/>
            <w:right w:val="none" w:sz="0" w:space="0" w:color="auto"/>
          </w:divBdr>
        </w:div>
      </w:divsChild>
    </w:div>
    <w:div w:id="339040650">
      <w:bodyDiv w:val="1"/>
      <w:marLeft w:val="0"/>
      <w:marRight w:val="0"/>
      <w:marTop w:val="0"/>
      <w:marBottom w:val="0"/>
      <w:divBdr>
        <w:top w:val="none" w:sz="0" w:space="0" w:color="auto"/>
        <w:left w:val="none" w:sz="0" w:space="0" w:color="auto"/>
        <w:bottom w:val="none" w:sz="0" w:space="0" w:color="auto"/>
        <w:right w:val="none" w:sz="0" w:space="0" w:color="auto"/>
      </w:divBdr>
    </w:div>
    <w:div w:id="391467493">
      <w:bodyDiv w:val="1"/>
      <w:marLeft w:val="0"/>
      <w:marRight w:val="0"/>
      <w:marTop w:val="0"/>
      <w:marBottom w:val="0"/>
      <w:divBdr>
        <w:top w:val="none" w:sz="0" w:space="0" w:color="auto"/>
        <w:left w:val="none" w:sz="0" w:space="0" w:color="auto"/>
        <w:bottom w:val="none" w:sz="0" w:space="0" w:color="auto"/>
        <w:right w:val="none" w:sz="0" w:space="0" w:color="auto"/>
      </w:divBdr>
    </w:div>
    <w:div w:id="427234633">
      <w:bodyDiv w:val="1"/>
      <w:marLeft w:val="0"/>
      <w:marRight w:val="0"/>
      <w:marTop w:val="0"/>
      <w:marBottom w:val="0"/>
      <w:divBdr>
        <w:top w:val="none" w:sz="0" w:space="0" w:color="auto"/>
        <w:left w:val="none" w:sz="0" w:space="0" w:color="auto"/>
        <w:bottom w:val="none" w:sz="0" w:space="0" w:color="auto"/>
        <w:right w:val="none" w:sz="0" w:space="0" w:color="auto"/>
      </w:divBdr>
      <w:divsChild>
        <w:div w:id="1394042664">
          <w:marLeft w:val="0"/>
          <w:marRight w:val="0"/>
          <w:marTop w:val="0"/>
          <w:marBottom w:val="0"/>
          <w:divBdr>
            <w:top w:val="none" w:sz="0" w:space="0" w:color="auto"/>
            <w:left w:val="none" w:sz="0" w:space="0" w:color="auto"/>
            <w:bottom w:val="none" w:sz="0" w:space="0" w:color="auto"/>
            <w:right w:val="none" w:sz="0" w:space="0" w:color="auto"/>
          </w:divBdr>
          <w:divsChild>
            <w:div w:id="568154267">
              <w:marLeft w:val="0"/>
              <w:marRight w:val="0"/>
              <w:marTop w:val="0"/>
              <w:marBottom w:val="0"/>
              <w:divBdr>
                <w:top w:val="none" w:sz="0" w:space="0" w:color="auto"/>
                <w:left w:val="none" w:sz="0" w:space="0" w:color="auto"/>
                <w:bottom w:val="none" w:sz="0" w:space="0" w:color="auto"/>
                <w:right w:val="none" w:sz="0" w:space="0" w:color="auto"/>
              </w:divBdr>
              <w:divsChild>
                <w:div w:id="334381972">
                  <w:marLeft w:val="0"/>
                  <w:marRight w:val="0"/>
                  <w:marTop w:val="0"/>
                  <w:marBottom w:val="0"/>
                  <w:divBdr>
                    <w:top w:val="none" w:sz="0" w:space="0" w:color="auto"/>
                    <w:left w:val="none" w:sz="0" w:space="0" w:color="auto"/>
                    <w:bottom w:val="none" w:sz="0" w:space="0" w:color="auto"/>
                    <w:right w:val="none" w:sz="0" w:space="0" w:color="auto"/>
                  </w:divBdr>
                  <w:divsChild>
                    <w:div w:id="1889143439">
                      <w:marLeft w:val="1"/>
                      <w:marRight w:val="1"/>
                      <w:marTop w:val="0"/>
                      <w:marBottom w:val="0"/>
                      <w:divBdr>
                        <w:top w:val="none" w:sz="0" w:space="0" w:color="auto"/>
                        <w:left w:val="none" w:sz="0" w:space="0" w:color="auto"/>
                        <w:bottom w:val="none" w:sz="0" w:space="0" w:color="auto"/>
                        <w:right w:val="none" w:sz="0" w:space="0" w:color="auto"/>
                      </w:divBdr>
                      <w:divsChild>
                        <w:div w:id="1210533555">
                          <w:marLeft w:val="0"/>
                          <w:marRight w:val="0"/>
                          <w:marTop w:val="0"/>
                          <w:marBottom w:val="0"/>
                          <w:divBdr>
                            <w:top w:val="none" w:sz="0" w:space="0" w:color="auto"/>
                            <w:left w:val="none" w:sz="0" w:space="0" w:color="auto"/>
                            <w:bottom w:val="none" w:sz="0" w:space="0" w:color="auto"/>
                            <w:right w:val="none" w:sz="0" w:space="0" w:color="auto"/>
                          </w:divBdr>
                          <w:divsChild>
                            <w:div w:id="507596027">
                              <w:marLeft w:val="0"/>
                              <w:marRight w:val="0"/>
                              <w:marTop w:val="0"/>
                              <w:marBottom w:val="360"/>
                              <w:divBdr>
                                <w:top w:val="none" w:sz="0" w:space="0" w:color="auto"/>
                                <w:left w:val="none" w:sz="0" w:space="0" w:color="auto"/>
                                <w:bottom w:val="none" w:sz="0" w:space="0" w:color="auto"/>
                                <w:right w:val="none" w:sz="0" w:space="0" w:color="auto"/>
                              </w:divBdr>
                              <w:divsChild>
                                <w:div w:id="1502965632">
                                  <w:marLeft w:val="0"/>
                                  <w:marRight w:val="0"/>
                                  <w:marTop w:val="0"/>
                                  <w:marBottom w:val="0"/>
                                  <w:divBdr>
                                    <w:top w:val="none" w:sz="0" w:space="0" w:color="auto"/>
                                    <w:left w:val="none" w:sz="0" w:space="0" w:color="auto"/>
                                    <w:bottom w:val="none" w:sz="0" w:space="0" w:color="auto"/>
                                    <w:right w:val="none" w:sz="0" w:space="0" w:color="auto"/>
                                  </w:divBdr>
                                  <w:divsChild>
                                    <w:div w:id="892035541">
                                      <w:marLeft w:val="0"/>
                                      <w:marRight w:val="0"/>
                                      <w:marTop w:val="0"/>
                                      <w:marBottom w:val="0"/>
                                      <w:divBdr>
                                        <w:top w:val="none" w:sz="0" w:space="0" w:color="auto"/>
                                        <w:left w:val="none" w:sz="0" w:space="0" w:color="auto"/>
                                        <w:bottom w:val="none" w:sz="0" w:space="0" w:color="auto"/>
                                        <w:right w:val="none" w:sz="0" w:space="0" w:color="auto"/>
                                      </w:divBdr>
                                      <w:divsChild>
                                        <w:div w:id="1662083560">
                                          <w:marLeft w:val="0"/>
                                          <w:marRight w:val="0"/>
                                          <w:marTop w:val="0"/>
                                          <w:marBottom w:val="0"/>
                                          <w:divBdr>
                                            <w:top w:val="none" w:sz="0" w:space="0" w:color="auto"/>
                                            <w:left w:val="none" w:sz="0" w:space="0" w:color="auto"/>
                                            <w:bottom w:val="none" w:sz="0" w:space="0" w:color="auto"/>
                                            <w:right w:val="none" w:sz="0" w:space="0" w:color="auto"/>
                                          </w:divBdr>
                                          <w:divsChild>
                                            <w:div w:id="1796170585">
                                              <w:marLeft w:val="0"/>
                                              <w:marRight w:val="0"/>
                                              <w:marTop w:val="0"/>
                                              <w:marBottom w:val="0"/>
                                              <w:divBdr>
                                                <w:top w:val="none" w:sz="0" w:space="0" w:color="auto"/>
                                                <w:left w:val="none" w:sz="0" w:space="0" w:color="auto"/>
                                                <w:bottom w:val="none" w:sz="0" w:space="0" w:color="auto"/>
                                                <w:right w:val="none" w:sz="0" w:space="0" w:color="auto"/>
                                              </w:divBdr>
                                              <w:divsChild>
                                                <w:div w:id="19724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902889">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452017818">
      <w:bodyDiv w:val="1"/>
      <w:marLeft w:val="0"/>
      <w:marRight w:val="0"/>
      <w:marTop w:val="0"/>
      <w:marBottom w:val="0"/>
      <w:divBdr>
        <w:top w:val="none" w:sz="0" w:space="0" w:color="auto"/>
        <w:left w:val="none" w:sz="0" w:space="0" w:color="auto"/>
        <w:bottom w:val="none" w:sz="0" w:space="0" w:color="auto"/>
        <w:right w:val="none" w:sz="0" w:space="0" w:color="auto"/>
      </w:divBdr>
    </w:div>
    <w:div w:id="486630035">
      <w:bodyDiv w:val="1"/>
      <w:marLeft w:val="0"/>
      <w:marRight w:val="0"/>
      <w:marTop w:val="0"/>
      <w:marBottom w:val="0"/>
      <w:divBdr>
        <w:top w:val="none" w:sz="0" w:space="0" w:color="auto"/>
        <w:left w:val="none" w:sz="0" w:space="0" w:color="auto"/>
        <w:bottom w:val="none" w:sz="0" w:space="0" w:color="auto"/>
        <w:right w:val="none" w:sz="0" w:space="0" w:color="auto"/>
      </w:divBdr>
      <w:divsChild>
        <w:div w:id="986010754">
          <w:marLeft w:val="0"/>
          <w:marRight w:val="0"/>
          <w:marTop w:val="0"/>
          <w:marBottom w:val="0"/>
          <w:divBdr>
            <w:top w:val="none" w:sz="0" w:space="0" w:color="auto"/>
            <w:left w:val="none" w:sz="0" w:space="0" w:color="auto"/>
            <w:bottom w:val="none" w:sz="0" w:space="0" w:color="auto"/>
            <w:right w:val="none" w:sz="0" w:space="0" w:color="auto"/>
          </w:divBdr>
          <w:divsChild>
            <w:div w:id="873923569">
              <w:marLeft w:val="0"/>
              <w:marRight w:val="0"/>
              <w:marTop w:val="0"/>
              <w:marBottom w:val="0"/>
              <w:divBdr>
                <w:top w:val="none" w:sz="0" w:space="0" w:color="auto"/>
                <w:left w:val="none" w:sz="0" w:space="0" w:color="auto"/>
                <w:bottom w:val="none" w:sz="0" w:space="0" w:color="auto"/>
                <w:right w:val="none" w:sz="0" w:space="0" w:color="auto"/>
              </w:divBdr>
              <w:divsChild>
                <w:div w:id="1180631131">
                  <w:marLeft w:val="0"/>
                  <w:marRight w:val="0"/>
                  <w:marTop w:val="0"/>
                  <w:marBottom w:val="0"/>
                  <w:divBdr>
                    <w:top w:val="none" w:sz="0" w:space="0" w:color="auto"/>
                    <w:left w:val="none" w:sz="0" w:space="0" w:color="auto"/>
                    <w:bottom w:val="none" w:sz="0" w:space="0" w:color="auto"/>
                    <w:right w:val="none" w:sz="0" w:space="0" w:color="auto"/>
                  </w:divBdr>
                  <w:divsChild>
                    <w:div w:id="2142385144">
                      <w:marLeft w:val="1"/>
                      <w:marRight w:val="1"/>
                      <w:marTop w:val="0"/>
                      <w:marBottom w:val="0"/>
                      <w:divBdr>
                        <w:top w:val="none" w:sz="0" w:space="0" w:color="auto"/>
                        <w:left w:val="none" w:sz="0" w:space="0" w:color="auto"/>
                        <w:bottom w:val="none" w:sz="0" w:space="0" w:color="auto"/>
                        <w:right w:val="none" w:sz="0" w:space="0" w:color="auto"/>
                      </w:divBdr>
                      <w:divsChild>
                        <w:div w:id="86852833">
                          <w:marLeft w:val="0"/>
                          <w:marRight w:val="0"/>
                          <w:marTop w:val="0"/>
                          <w:marBottom w:val="0"/>
                          <w:divBdr>
                            <w:top w:val="none" w:sz="0" w:space="0" w:color="auto"/>
                            <w:left w:val="none" w:sz="0" w:space="0" w:color="auto"/>
                            <w:bottom w:val="none" w:sz="0" w:space="0" w:color="auto"/>
                            <w:right w:val="none" w:sz="0" w:space="0" w:color="auto"/>
                          </w:divBdr>
                          <w:divsChild>
                            <w:div w:id="1744182401">
                              <w:marLeft w:val="0"/>
                              <w:marRight w:val="0"/>
                              <w:marTop w:val="0"/>
                              <w:marBottom w:val="360"/>
                              <w:divBdr>
                                <w:top w:val="none" w:sz="0" w:space="0" w:color="auto"/>
                                <w:left w:val="none" w:sz="0" w:space="0" w:color="auto"/>
                                <w:bottom w:val="none" w:sz="0" w:space="0" w:color="auto"/>
                                <w:right w:val="none" w:sz="0" w:space="0" w:color="auto"/>
                              </w:divBdr>
                              <w:divsChild>
                                <w:div w:id="1467315141">
                                  <w:marLeft w:val="0"/>
                                  <w:marRight w:val="0"/>
                                  <w:marTop w:val="0"/>
                                  <w:marBottom w:val="0"/>
                                  <w:divBdr>
                                    <w:top w:val="none" w:sz="0" w:space="0" w:color="auto"/>
                                    <w:left w:val="none" w:sz="0" w:space="0" w:color="auto"/>
                                    <w:bottom w:val="none" w:sz="0" w:space="0" w:color="auto"/>
                                    <w:right w:val="none" w:sz="0" w:space="0" w:color="auto"/>
                                  </w:divBdr>
                                  <w:divsChild>
                                    <w:div w:id="1171991944">
                                      <w:marLeft w:val="0"/>
                                      <w:marRight w:val="0"/>
                                      <w:marTop w:val="0"/>
                                      <w:marBottom w:val="0"/>
                                      <w:divBdr>
                                        <w:top w:val="none" w:sz="0" w:space="0" w:color="auto"/>
                                        <w:left w:val="none" w:sz="0" w:space="0" w:color="auto"/>
                                        <w:bottom w:val="none" w:sz="0" w:space="0" w:color="auto"/>
                                        <w:right w:val="none" w:sz="0" w:space="0" w:color="auto"/>
                                      </w:divBdr>
                                      <w:divsChild>
                                        <w:div w:id="17781574">
                                          <w:marLeft w:val="0"/>
                                          <w:marRight w:val="0"/>
                                          <w:marTop w:val="0"/>
                                          <w:marBottom w:val="0"/>
                                          <w:divBdr>
                                            <w:top w:val="none" w:sz="0" w:space="0" w:color="auto"/>
                                            <w:left w:val="none" w:sz="0" w:space="0" w:color="auto"/>
                                            <w:bottom w:val="none" w:sz="0" w:space="0" w:color="auto"/>
                                            <w:right w:val="none" w:sz="0" w:space="0" w:color="auto"/>
                                          </w:divBdr>
                                          <w:divsChild>
                                            <w:div w:id="1399669171">
                                              <w:marLeft w:val="0"/>
                                              <w:marRight w:val="0"/>
                                              <w:marTop w:val="0"/>
                                              <w:marBottom w:val="0"/>
                                              <w:divBdr>
                                                <w:top w:val="none" w:sz="0" w:space="0" w:color="auto"/>
                                                <w:left w:val="none" w:sz="0" w:space="0" w:color="auto"/>
                                                <w:bottom w:val="none" w:sz="0" w:space="0" w:color="auto"/>
                                                <w:right w:val="none" w:sz="0" w:space="0" w:color="auto"/>
                                              </w:divBdr>
                                              <w:divsChild>
                                                <w:div w:id="7865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7989869">
      <w:bodyDiv w:val="1"/>
      <w:marLeft w:val="0"/>
      <w:marRight w:val="0"/>
      <w:marTop w:val="0"/>
      <w:marBottom w:val="0"/>
      <w:divBdr>
        <w:top w:val="none" w:sz="0" w:space="0" w:color="auto"/>
        <w:left w:val="none" w:sz="0" w:space="0" w:color="auto"/>
        <w:bottom w:val="none" w:sz="0" w:space="0" w:color="auto"/>
        <w:right w:val="none" w:sz="0" w:space="0" w:color="auto"/>
      </w:divBdr>
    </w:div>
    <w:div w:id="675809671">
      <w:bodyDiv w:val="1"/>
      <w:marLeft w:val="0"/>
      <w:marRight w:val="0"/>
      <w:marTop w:val="0"/>
      <w:marBottom w:val="0"/>
      <w:divBdr>
        <w:top w:val="none" w:sz="0" w:space="0" w:color="auto"/>
        <w:left w:val="none" w:sz="0" w:space="0" w:color="auto"/>
        <w:bottom w:val="none" w:sz="0" w:space="0" w:color="auto"/>
        <w:right w:val="none" w:sz="0" w:space="0" w:color="auto"/>
      </w:divBdr>
    </w:div>
    <w:div w:id="697897717">
      <w:bodyDiv w:val="1"/>
      <w:marLeft w:val="0"/>
      <w:marRight w:val="0"/>
      <w:marTop w:val="0"/>
      <w:marBottom w:val="0"/>
      <w:divBdr>
        <w:top w:val="none" w:sz="0" w:space="0" w:color="auto"/>
        <w:left w:val="none" w:sz="0" w:space="0" w:color="auto"/>
        <w:bottom w:val="none" w:sz="0" w:space="0" w:color="auto"/>
        <w:right w:val="none" w:sz="0" w:space="0" w:color="auto"/>
      </w:divBdr>
    </w:div>
    <w:div w:id="705451451">
      <w:bodyDiv w:val="1"/>
      <w:marLeft w:val="0"/>
      <w:marRight w:val="0"/>
      <w:marTop w:val="0"/>
      <w:marBottom w:val="0"/>
      <w:divBdr>
        <w:top w:val="none" w:sz="0" w:space="0" w:color="auto"/>
        <w:left w:val="none" w:sz="0" w:space="0" w:color="auto"/>
        <w:bottom w:val="none" w:sz="0" w:space="0" w:color="auto"/>
        <w:right w:val="none" w:sz="0" w:space="0" w:color="auto"/>
      </w:divBdr>
      <w:divsChild>
        <w:div w:id="533812398">
          <w:marLeft w:val="0"/>
          <w:marRight w:val="0"/>
          <w:marTop w:val="0"/>
          <w:marBottom w:val="0"/>
          <w:divBdr>
            <w:top w:val="none" w:sz="0" w:space="0" w:color="auto"/>
            <w:left w:val="none" w:sz="0" w:space="0" w:color="auto"/>
            <w:bottom w:val="none" w:sz="0" w:space="0" w:color="auto"/>
            <w:right w:val="none" w:sz="0" w:space="0" w:color="auto"/>
          </w:divBdr>
          <w:divsChild>
            <w:div w:id="1726490417">
              <w:marLeft w:val="0"/>
              <w:marRight w:val="0"/>
              <w:marTop w:val="0"/>
              <w:marBottom w:val="0"/>
              <w:divBdr>
                <w:top w:val="none" w:sz="0" w:space="0" w:color="auto"/>
                <w:left w:val="none" w:sz="0" w:space="0" w:color="auto"/>
                <w:bottom w:val="none" w:sz="0" w:space="0" w:color="auto"/>
                <w:right w:val="none" w:sz="0" w:space="0" w:color="auto"/>
              </w:divBdr>
              <w:divsChild>
                <w:div w:id="1714426520">
                  <w:marLeft w:val="0"/>
                  <w:marRight w:val="0"/>
                  <w:marTop w:val="0"/>
                  <w:marBottom w:val="0"/>
                  <w:divBdr>
                    <w:top w:val="none" w:sz="0" w:space="0" w:color="auto"/>
                    <w:left w:val="none" w:sz="0" w:space="0" w:color="auto"/>
                    <w:bottom w:val="none" w:sz="0" w:space="0" w:color="auto"/>
                    <w:right w:val="none" w:sz="0" w:space="0" w:color="auto"/>
                  </w:divBdr>
                  <w:divsChild>
                    <w:div w:id="1927956895">
                      <w:marLeft w:val="1"/>
                      <w:marRight w:val="1"/>
                      <w:marTop w:val="0"/>
                      <w:marBottom w:val="0"/>
                      <w:divBdr>
                        <w:top w:val="none" w:sz="0" w:space="0" w:color="auto"/>
                        <w:left w:val="none" w:sz="0" w:space="0" w:color="auto"/>
                        <w:bottom w:val="none" w:sz="0" w:space="0" w:color="auto"/>
                        <w:right w:val="none" w:sz="0" w:space="0" w:color="auto"/>
                      </w:divBdr>
                      <w:divsChild>
                        <w:div w:id="711081271">
                          <w:marLeft w:val="0"/>
                          <w:marRight w:val="0"/>
                          <w:marTop w:val="0"/>
                          <w:marBottom w:val="0"/>
                          <w:divBdr>
                            <w:top w:val="none" w:sz="0" w:space="0" w:color="auto"/>
                            <w:left w:val="none" w:sz="0" w:space="0" w:color="auto"/>
                            <w:bottom w:val="none" w:sz="0" w:space="0" w:color="auto"/>
                            <w:right w:val="none" w:sz="0" w:space="0" w:color="auto"/>
                          </w:divBdr>
                          <w:divsChild>
                            <w:div w:id="1843617503">
                              <w:marLeft w:val="0"/>
                              <w:marRight w:val="0"/>
                              <w:marTop w:val="0"/>
                              <w:marBottom w:val="360"/>
                              <w:divBdr>
                                <w:top w:val="none" w:sz="0" w:space="0" w:color="auto"/>
                                <w:left w:val="none" w:sz="0" w:space="0" w:color="auto"/>
                                <w:bottom w:val="none" w:sz="0" w:space="0" w:color="auto"/>
                                <w:right w:val="none" w:sz="0" w:space="0" w:color="auto"/>
                              </w:divBdr>
                              <w:divsChild>
                                <w:div w:id="1170289217">
                                  <w:marLeft w:val="0"/>
                                  <w:marRight w:val="0"/>
                                  <w:marTop w:val="0"/>
                                  <w:marBottom w:val="0"/>
                                  <w:divBdr>
                                    <w:top w:val="none" w:sz="0" w:space="0" w:color="auto"/>
                                    <w:left w:val="none" w:sz="0" w:space="0" w:color="auto"/>
                                    <w:bottom w:val="none" w:sz="0" w:space="0" w:color="auto"/>
                                    <w:right w:val="none" w:sz="0" w:space="0" w:color="auto"/>
                                  </w:divBdr>
                                  <w:divsChild>
                                    <w:div w:id="470827618">
                                      <w:marLeft w:val="0"/>
                                      <w:marRight w:val="0"/>
                                      <w:marTop w:val="0"/>
                                      <w:marBottom w:val="0"/>
                                      <w:divBdr>
                                        <w:top w:val="none" w:sz="0" w:space="0" w:color="auto"/>
                                        <w:left w:val="none" w:sz="0" w:space="0" w:color="auto"/>
                                        <w:bottom w:val="none" w:sz="0" w:space="0" w:color="auto"/>
                                        <w:right w:val="none" w:sz="0" w:space="0" w:color="auto"/>
                                      </w:divBdr>
                                      <w:divsChild>
                                        <w:div w:id="911236116">
                                          <w:marLeft w:val="0"/>
                                          <w:marRight w:val="0"/>
                                          <w:marTop w:val="0"/>
                                          <w:marBottom w:val="0"/>
                                          <w:divBdr>
                                            <w:top w:val="none" w:sz="0" w:space="0" w:color="auto"/>
                                            <w:left w:val="none" w:sz="0" w:space="0" w:color="auto"/>
                                            <w:bottom w:val="none" w:sz="0" w:space="0" w:color="auto"/>
                                            <w:right w:val="none" w:sz="0" w:space="0" w:color="auto"/>
                                          </w:divBdr>
                                          <w:divsChild>
                                            <w:div w:id="413673543">
                                              <w:marLeft w:val="0"/>
                                              <w:marRight w:val="0"/>
                                              <w:marTop w:val="0"/>
                                              <w:marBottom w:val="0"/>
                                              <w:divBdr>
                                                <w:top w:val="none" w:sz="0" w:space="0" w:color="auto"/>
                                                <w:left w:val="none" w:sz="0" w:space="0" w:color="auto"/>
                                                <w:bottom w:val="none" w:sz="0" w:space="0" w:color="auto"/>
                                                <w:right w:val="none" w:sz="0" w:space="0" w:color="auto"/>
                                              </w:divBdr>
                                              <w:divsChild>
                                                <w:div w:id="13941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884001">
      <w:bodyDiv w:val="1"/>
      <w:marLeft w:val="0"/>
      <w:marRight w:val="0"/>
      <w:marTop w:val="0"/>
      <w:marBottom w:val="0"/>
      <w:divBdr>
        <w:top w:val="none" w:sz="0" w:space="0" w:color="auto"/>
        <w:left w:val="none" w:sz="0" w:space="0" w:color="auto"/>
        <w:bottom w:val="none" w:sz="0" w:space="0" w:color="auto"/>
        <w:right w:val="none" w:sz="0" w:space="0" w:color="auto"/>
      </w:divBdr>
    </w:div>
    <w:div w:id="735711841">
      <w:bodyDiv w:val="1"/>
      <w:marLeft w:val="0"/>
      <w:marRight w:val="0"/>
      <w:marTop w:val="0"/>
      <w:marBottom w:val="0"/>
      <w:divBdr>
        <w:top w:val="none" w:sz="0" w:space="0" w:color="auto"/>
        <w:left w:val="none" w:sz="0" w:space="0" w:color="auto"/>
        <w:bottom w:val="none" w:sz="0" w:space="0" w:color="auto"/>
        <w:right w:val="none" w:sz="0" w:space="0" w:color="auto"/>
      </w:divBdr>
    </w:div>
    <w:div w:id="787815971">
      <w:bodyDiv w:val="1"/>
      <w:marLeft w:val="0"/>
      <w:marRight w:val="0"/>
      <w:marTop w:val="0"/>
      <w:marBottom w:val="0"/>
      <w:divBdr>
        <w:top w:val="none" w:sz="0" w:space="0" w:color="auto"/>
        <w:left w:val="none" w:sz="0" w:space="0" w:color="auto"/>
        <w:bottom w:val="none" w:sz="0" w:space="0" w:color="auto"/>
        <w:right w:val="none" w:sz="0" w:space="0" w:color="auto"/>
      </w:divBdr>
      <w:divsChild>
        <w:div w:id="1665156966">
          <w:marLeft w:val="0"/>
          <w:marRight w:val="0"/>
          <w:marTop w:val="0"/>
          <w:marBottom w:val="0"/>
          <w:divBdr>
            <w:top w:val="none" w:sz="0" w:space="0" w:color="auto"/>
            <w:left w:val="none" w:sz="0" w:space="0" w:color="auto"/>
            <w:bottom w:val="none" w:sz="0" w:space="0" w:color="auto"/>
            <w:right w:val="none" w:sz="0" w:space="0" w:color="auto"/>
          </w:divBdr>
          <w:divsChild>
            <w:div w:id="1381440496">
              <w:marLeft w:val="0"/>
              <w:marRight w:val="0"/>
              <w:marTop w:val="0"/>
              <w:marBottom w:val="0"/>
              <w:divBdr>
                <w:top w:val="none" w:sz="0" w:space="0" w:color="auto"/>
                <w:left w:val="none" w:sz="0" w:space="0" w:color="auto"/>
                <w:bottom w:val="none" w:sz="0" w:space="0" w:color="auto"/>
                <w:right w:val="none" w:sz="0" w:space="0" w:color="auto"/>
              </w:divBdr>
              <w:divsChild>
                <w:div w:id="859666806">
                  <w:marLeft w:val="0"/>
                  <w:marRight w:val="0"/>
                  <w:marTop w:val="0"/>
                  <w:marBottom w:val="0"/>
                  <w:divBdr>
                    <w:top w:val="none" w:sz="0" w:space="0" w:color="auto"/>
                    <w:left w:val="none" w:sz="0" w:space="0" w:color="auto"/>
                    <w:bottom w:val="none" w:sz="0" w:space="0" w:color="auto"/>
                    <w:right w:val="none" w:sz="0" w:space="0" w:color="auto"/>
                  </w:divBdr>
                  <w:divsChild>
                    <w:div w:id="306278512">
                      <w:marLeft w:val="1"/>
                      <w:marRight w:val="1"/>
                      <w:marTop w:val="0"/>
                      <w:marBottom w:val="0"/>
                      <w:divBdr>
                        <w:top w:val="none" w:sz="0" w:space="0" w:color="auto"/>
                        <w:left w:val="none" w:sz="0" w:space="0" w:color="auto"/>
                        <w:bottom w:val="none" w:sz="0" w:space="0" w:color="auto"/>
                        <w:right w:val="none" w:sz="0" w:space="0" w:color="auto"/>
                      </w:divBdr>
                      <w:divsChild>
                        <w:div w:id="2051370005">
                          <w:marLeft w:val="0"/>
                          <w:marRight w:val="0"/>
                          <w:marTop w:val="0"/>
                          <w:marBottom w:val="0"/>
                          <w:divBdr>
                            <w:top w:val="none" w:sz="0" w:space="0" w:color="auto"/>
                            <w:left w:val="none" w:sz="0" w:space="0" w:color="auto"/>
                            <w:bottom w:val="none" w:sz="0" w:space="0" w:color="auto"/>
                            <w:right w:val="none" w:sz="0" w:space="0" w:color="auto"/>
                          </w:divBdr>
                          <w:divsChild>
                            <w:div w:id="2139495552">
                              <w:marLeft w:val="0"/>
                              <w:marRight w:val="0"/>
                              <w:marTop w:val="0"/>
                              <w:marBottom w:val="360"/>
                              <w:divBdr>
                                <w:top w:val="none" w:sz="0" w:space="0" w:color="auto"/>
                                <w:left w:val="none" w:sz="0" w:space="0" w:color="auto"/>
                                <w:bottom w:val="none" w:sz="0" w:space="0" w:color="auto"/>
                                <w:right w:val="none" w:sz="0" w:space="0" w:color="auto"/>
                              </w:divBdr>
                              <w:divsChild>
                                <w:div w:id="239798119">
                                  <w:marLeft w:val="0"/>
                                  <w:marRight w:val="0"/>
                                  <w:marTop w:val="0"/>
                                  <w:marBottom w:val="0"/>
                                  <w:divBdr>
                                    <w:top w:val="none" w:sz="0" w:space="0" w:color="auto"/>
                                    <w:left w:val="none" w:sz="0" w:space="0" w:color="auto"/>
                                    <w:bottom w:val="none" w:sz="0" w:space="0" w:color="auto"/>
                                    <w:right w:val="none" w:sz="0" w:space="0" w:color="auto"/>
                                  </w:divBdr>
                                  <w:divsChild>
                                    <w:div w:id="740098388">
                                      <w:marLeft w:val="0"/>
                                      <w:marRight w:val="0"/>
                                      <w:marTop w:val="0"/>
                                      <w:marBottom w:val="0"/>
                                      <w:divBdr>
                                        <w:top w:val="none" w:sz="0" w:space="0" w:color="auto"/>
                                        <w:left w:val="none" w:sz="0" w:space="0" w:color="auto"/>
                                        <w:bottom w:val="none" w:sz="0" w:space="0" w:color="auto"/>
                                        <w:right w:val="none" w:sz="0" w:space="0" w:color="auto"/>
                                      </w:divBdr>
                                      <w:divsChild>
                                        <w:div w:id="933243314">
                                          <w:marLeft w:val="0"/>
                                          <w:marRight w:val="0"/>
                                          <w:marTop w:val="0"/>
                                          <w:marBottom w:val="0"/>
                                          <w:divBdr>
                                            <w:top w:val="none" w:sz="0" w:space="0" w:color="auto"/>
                                            <w:left w:val="none" w:sz="0" w:space="0" w:color="auto"/>
                                            <w:bottom w:val="none" w:sz="0" w:space="0" w:color="auto"/>
                                            <w:right w:val="none" w:sz="0" w:space="0" w:color="auto"/>
                                          </w:divBdr>
                                          <w:divsChild>
                                            <w:div w:id="938754451">
                                              <w:marLeft w:val="0"/>
                                              <w:marRight w:val="0"/>
                                              <w:marTop w:val="0"/>
                                              <w:marBottom w:val="0"/>
                                              <w:divBdr>
                                                <w:top w:val="none" w:sz="0" w:space="0" w:color="auto"/>
                                                <w:left w:val="none" w:sz="0" w:space="0" w:color="auto"/>
                                                <w:bottom w:val="none" w:sz="0" w:space="0" w:color="auto"/>
                                                <w:right w:val="none" w:sz="0" w:space="0" w:color="auto"/>
                                              </w:divBdr>
                                              <w:divsChild>
                                                <w:div w:id="8751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387284">
      <w:bodyDiv w:val="1"/>
      <w:marLeft w:val="0"/>
      <w:marRight w:val="0"/>
      <w:marTop w:val="0"/>
      <w:marBottom w:val="0"/>
      <w:divBdr>
        <w:top w:val="none" w:sz="0" w:space="0" w:color="auto"/>
        <w:left w:val="none" w:sz="0" w:space="0" w:color="auto"/>
        <w:bottom w:val="none" w:sz="0" w:space="0" w:color="auto"/>
        <w:right w:val="none" w:sz="0" w:space="0" w:color="auto"/>
      </w:divBdr>
    </w:div>
    <w:div w:id="935401993">
      <w:bodyDiv w:val="1"/>
      <w:marLeft w:val="0"/>
      <w:marRight w:val="0"/>
      <w:marTop w:val="0"/>
      <w:marBottom w:val="0"/>
      <w:divBdr>
        <w:top w:val="none" w:sz="0" w:space="0" w:color="auto"/>
        <w:left w:val="none" w:sz="0" w:space="0" w:color="auto"/>
        <w:bottom w:val="none" w:sz="0" w:space="0" w:color="auto"/>
        <w:right w:val="none" w:sz="0" w:space="0" w:color="auto"/>
      </w:divBdr>
      <w:divsChild>
        <w:div w:id="1581016880">
          <w:marLeft w:val="0"/>
          <w:marRight w:val="0"/>
          <w:marTop w:val="0"/>
          <w:marBottom w:val="0"/>
          <w:divBdr>
            <w:top w:val="none" w:sz="0" w:space="0" w:color="auto"/>
            <w:left w:val="none" w:sz="0" w:space="0" w:color="auto"/>
            <w:bottom w:val="none" w:sz="0" w:space="0" w:color="auto"/>
            <w:right w:val="none" w:sz="0" w:space="0" w:color="auto"/>
          </w:divBdr>
          <w:divsChild>
            <w:div w:id="56173579">
              <w:marLeft w:val="0"/>
              <w:marRight w:val="0"/>
              <w:marTop w:val="0"/>
              <w:marBottom w:val="0"/>
              <w:divBdr>
                <w:top w:val="none" w:sz="0" w:space="0" w:color="auto"/>
                <w:left w:val="none" w:sz="0" w:space="0" w:color="auto"/>
                <w:bottom w:val="none" w:sz="0" w:space="0" w:color="auto"/>
                <w:right w:val="none" w:sz="0" w:space="0" w:color="auto"/>
              </w:divBdr>
              <w:divsChild>
                <w:div w:id="390465480">
                  <w:marLeft w:val="0"/>
                  <w:marRight w:val="0"/>
                  <w:marTop w:val="0"/>
                  <w:marBottom w:val="0"/>
                  <w:divBdr>
                    <w:top w:val="none" w:sz="0" w:space="0" w:color="auto"/>
                    <w:left w:val="none" w:sz="0" w:space="0" w:color="auto"/>
                    <w:bottom w:val="none" w:sz="0" w:space="0" w:color="auto"/>
                    <w:right w:val="none" w:sz="0" w:space="0" w:color="auto"/>
                  </w:divBdr>
                  <w:divsChild>
                    <w:div w:id="1778527572">
                      <w:marLeft w:val="1"/>
                      <w:marRight w:val="1"/>
                      <w:marTop w:val="0"/>
                      <w:marBottom w:val="0"/>
                      <w:divBdr>
                        <w:top w:val="none" w:sz="0" w:space="0" w:color="auto"/>
                        <w:left w:val="none" w:sz="0" w:space="0" w:color="auto"/>
                        <w:bottom w:val="none" w:sz="0" w:space="0" w:color="auto"/>
                        <w:right w:val="none" w:sz="0" w:space="0" w:color="auto"/>
                      </w:divBdr>
                      <w:divsChild>
                        <w:div w:id="956452929">
                          <w:marLeft w:val="0"/>
                          <w:marRight w:val="0"/>
                          <w:marTop w:val="0"/>
                          <w:marBottom w:val="0"/>
                          <w:divBdr>
                            <w:top w:val="none" w:sz="0" w:space="0" w:color="auto"/>
                            <w:left w:val="none" w:sz="0" w:space="0" w:color="auto"/>
                            <w:bottom w:val="none" w:sz="0" w:space="0" w:color="auto"/>
                            <w:right w:val="none" w:sz="0" w:space="0" w:color="auto"/>
                          </w:divBdr>
                          <w:divsChild>
                            <w:div w:id="69472792">
                              <w:marLeft w:val="0"/>
                              <w:marRight w:val="0"/>
                              <w:marTop w:val="0"/>
                              <w:marBottom w:val="360"/>
                              <w:divBdr>
                                <w:top w:val="none" w:sz="0" w:space="0" w:color="auto"/>
                                <w:left w:val="none" w:sz="0" w:space="0" w:color="auto"/>
                                <w:bottom w:val="none" w:sz="0" w:space="0" w:color="auto"/>
                                <w:right w:val="none" w:sz="0" w:space="0" w:color="auto"/>
                              </w:divBdr>
                              <w:divsChild>
                                <w:div w:id="1838305883">
                                  <w:marLeft w:val="0"/>
                                  <w:marRight w:val="0"/>
                                  <w:marTop w:val="0"/>
                                  <w:marBottom w:val="0"/>
                                  <w:divBdr>
                                    <w:top w:val="none" w:sz="0" w:space="0" w:color="auto"/>
                                    <w:left w:val="none" w:sz="0" w:space="0" w:color="auto"/>
                                    <w:bottom w:val="none" w:sz="0" w:space="0" w:color="auto"/>
                                    <w:right w:val="none" w:sz="0" w:space="0" w:color="auto"/>
                                  </w:divBdr>
                                  <w:divsChild>
                                    <w:div w:id="731387435">
                                      <w:marLeft w:val="0"/>
                                      <w:marRight w:val="0"/>
                                      <w:marTop w:val="0"/>
                                      <w:marBottom w:val="0"/>
                                      <w:divBdr>
                                        <w:top w:val="none" w:sz="0" w:space="0" w:color="auto"/>
                                        <w:left w:val="none" w:sz="0" w:space="0" w:color="auto"/>
                                        <w:bottom w:val="none" w:sz="0" w:space="0" w:color="auto"/>
                                        <w:right w:val="none" w:sz="0" w:space="0" w:color="auto"/>
                                      </w:divBdr>
                                      <w:divsChild>
                                        <w:div w:id="1244988741">
                                          <w:marLeft w:val="0"/>
                                          <w:marRight w:val="0"/>
                                          <w:marTop w:val="0"/>
                                          <w:marBottom w:val="0"/>
                                          <w:divBdr>
                                            <w:top w:val="none" w:sz="0" w:space="0" w:color="auto"/>
                                            <w:left w:val="none" w:sz="0" w:space="0" w:color="auto"/>
                                            <w:bottom w:val="none" w:sz="0" w:space="0" w:color="auto"/>
                                            <w:right w:val="none" w:sz="0" w:space="0" w:color="auto"/>
                                          </w:divBdr>
                                          <w:divsChild>
                                            <w:div w:id="1360669154">
                                              <w:marLeft w:val="0"/>
                                              <w:marRight w:val="0"/>
                                              <w:marTop w:val="0"/>
                                              <w:marBottom w:val="0"/>
                                              <w:divBdr>
                                                <w:top w:val="none" w:sz="0" w:space="0" w:color="auto"/>
                                                <w:left w:val="none" w:sz="0" w:space="0" w:color="auto"/>
                                                <w:bottom w:val="none" w:sz="0" w:space="0" w:color="auto"/>
                                                <w:right w:val="none" w:sz="0" w:space="0" w:color="auto"/>
                                              </w:divBdr>
                                              <w:divsChild>
                                                <w:div w:id="15757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840149">
      <w:bodyDiv w:val="1"/>
      <w:marLeft w:val="0"/>
      <w:marRight w:val="0"/>
      <w:marTop w:val="0"/>
      <w:marBottom w:val="0"/>
      <w:divBdr>
        <w:top w:val="none" w:sz="0" w:space="0" w:color="auto"/>
        <w:left w:val="none" w:sz="0" w:space="0" w:color="auto"/>
        <w:bottom w:val="none" w:sz="0" w:space="0" w:color="auto"/>
        <w:right w:val="none" w:sz="0" w:space="0" w:color="auto"/>
      </w:divBdr>
    </w:div>
    <w:div w:id="1006906506">
      <w:bodyDiv w:val="1"/>
      <w:marLeft w:val="0"/>
      <w:marRight w:val="0"/>
      <w:marTop w:val="0"/>
      <w:marBottom w:val="0"/>
      <w:divBdr>
        <w:top w:val="none" w:sz="0" w:space="0" w:color="auto"/>
        <w:left w:val="none" w:sz="0" w:space="0" w:color="auto"/>
        <w:bottom w:val="none" w:sz="0" w:space="0" w:color="auto"/>
        <w:right w:val="none" w:sz="0" w:space="0" w:color="auto"/>
      </w:divBdr>
    </w:div>
    <w:div w:id="1019350270">
      <w:bodyDiv w:val="1"/>
      <w:marLeft w:val="0"/>
      <w:marRight w:val="0"/>
      <w:marTop w:val="0"/>
      <w:marBottom w:val="0"/>
      <w:divBdr>
        <w:top w:val="none" w:sz="0" w:space="0" w:color="auto"/>
        <w:left w:val="none" w:sz="0" w:space="0" w:color="auto"/>
        <w:bottom w:val="none" w:sz="0" w:space="0" w:color="auto"/>
        <w:right w:val="none" w:sz="0" w:space="0" w:color="auto"/>
      </w:divBdr>
    </w:div>
    <w:div w:id="1042680777">
      <w:bodyDiv w:val="1"/>
      <w:marLeft w:val="0"/>
      <w:marRight w:val="0"/>
      <w:marTop w:val="0"/>
      <w:marBottom w:val="0"/>
      <w:divBdr>
        <w:top w:val="none" w:sz="0" w:space="0" w:color="auto"/>
        <w:left w:val="none" w:sz="0" w:space="0" w:color="auto"/>
        <w:bottom w:val="none" w:sz="0" w:space="0" w:color="auto"/>
        <w:right w:val="none" w:sz="0" w:space="0" w:color="auto"/>
      </w:divBdr>
    </w:div>
    <w:div w:id="1052966982">
      <w:bodyDiv w:val="1"/>
      <w:marLeft w:val="0"/>
      <w:marRight w:val="0"/>
      <w:marTop w:val="0"/>
      <w:marBottom w:val="0"/>
      <w:divBdr>
        <w:top w:val="none" w:sz="0" w:space="0" w:color="auto"/>
        <w:left w:val="none" w:sz="0" w:space="0" w:color="auto"/>
        <w:bottom w:val="none" w:sz="0" w:space="0" w:color="auto"/>
        <w:right w:val="none" w:sz="0" w:space="0" w:color="auto"/>
      </w:divBdr>
    </w:div>
    <w:div w:id="1054695584">
      <w:bodyDiv w:val="1"/>
      <w:marLeft w:val="0"/>
      <w:marRight w:val="0"/>
      <w:marTop w:val="0"/>
      <w:marBottom w:val="0"/>
      <w:divBdr>
        <w:top w:val="none" w:sz="0" w:space="0" w:color="auto"/>
        <w:left w:val="none" w:sz="0" w:space="0" w:color="auto"/>
        <w:bottom w:val="none" w:sz="0" w:space="0" w:color="auto"/>
        <w:right w:val="none" w:sz="0" w:space="0" w:color="auto"/>
      </w:divBdr>
    </w:div>
    <w:div w:id="1127434379">
      <w:bodyDiv w:val="1"/>
      <w:marLeft w:val="0"/>
      <w:marRight w:val="0"/>
      <w:marTop w:val="0"/>
      <w:marBottom w:val="0"/>
      <w:divBdr>
        <w:top w:val="none" w:sz="0" w:space="0" w:color="auto"/>
        <w:left w:val="none" w:sz="0" w:space="0" w:color="auto"/>
        <w:bottom w:val="none" w:sz="0" w:space="0" w:color="auto"/>
        <w:right w:val="none" w:sz="0" w:space="0" w:color="auto"/>
      </w:divBdr>
    </w:div>
    <w:div w:id="1142432014">
      <w:bodyDiv w:val="1"/>
      <w:marLeft w:val="0"/>
      <w:marRight w:val="0"/>
      <w:marTop w:val="0"/>
      <w:marBottom w:val="0"/>
      <w:divBdr>
        <w:top w:val="none" w:sz="0" w:space="0" w:color="auto"/>
        <w:left w:val="none" w:sz="0" w:space="0" w:color="auto"/>
        <w:bottom w:val="none" w:sz="0" w:space="0" w:color="auto"/>
        <w:right w:val="none" w:sz="0" w:space="0" w:color="auto"/>
      </w:divBdr>
    </w:div>
    <w:div w:id="1147629467">
      <w:bodyDiv w:val="1"/>
      <w:marLeft w:val="0"/>
      <w:marRight w:val="0"/>
      <w:marTop w:val="0"/>
      <w:marBottom w:val="0"/>
      <w:divBdr>
        <w:top w:val="none" w:sz="0" w:space="0" w:color="auto"/>
        <w:left w:val="none" w:sz="0" w:space="0" w:color="auto"/>
        <w:bottom w:val="none" w:sz="0" w:space="0" w:color="auto"/>
        <w:right w:val="none" w:sz="0" w:space="0" w:color="auto"/>
      </w:divBdr>
    </w:div>
    <w:div w:id="1227372525">
      <w:bodyDiv w:val="1"/>
      <w:marLeft w:val="0"/>
      <w:marRight w:val="0"/>
      <w:marTop w:val="0"/>
      <w:marBottom w:val="0"/>
      <w:divBdr>
        <w:top w:val="none" w:sz="0" w:space="0" w:color="auto"/>
        <w:left w:val="none" w:sz="0" w:space="0" w:color="auto"/>
        <w:bottom w:val="none" w:sz="0" w:space="0" w:color="auto"/>
        <w:right w:val="none" w:sz="0" w:space="0" w:color="auto"/>
      </w:divBdr>
    </w:div>
    <w:div w:id="1228493690">
      <w:bodyDiv w:val="1"/>
      <w:marLeft w:val="0"/>
      <w:marRight w:val="0"/>
      <w:marTop w:val="0"/>
      <w:marBottom w:val="0"/>
      <w:divBdr>
        <w:top w:val="none" w:sz="0" w:space="0" w:color="auto"/>
        <w:left w:val="none" w:sz="0" w:space="0" w:color="auto"/>
        <w:bottom w:val="none" w:sz="0" w:space="0" w:color="auto"/>
        <w:right w:val="none" w:sz="0" w:space="0" w:color="auto"/>
      </w:divBdr>
    </w:div>
    <w:div w:id="1240795781">
      <w:bodyDiv w:val="1"/>
      <w:marLeft w:val="0"/>
      <w:marRight w:val="0"/>
      <w:marTop w:val="0"/>
      <w:marBottom w:val="0"/>
      <w:divBdr>
        <w:top w:val="none" w:sz="0" w:space="0" w:color="auto"/>
        <w:left w:val="none" w:sz="0" w:space="0" w:color="auto"/>
        <w:bottom w:val="none" w:sz="0" w:space="0" w:color="auto"/>
        <w:right w:val="none" w:sz="0" w:space="0" w:color="auto"/>
      </w:divBdr>
    </w:div>
    <w:div w:id="1253394971">
      <w:bodyDiv w:val="1"/>
      <w:marLeft w:val="0"/>
      <w:marRight w:val="0"/>
      <w:marTop w:val="0"/>
      <w:marBottom w:val="0"/>
      <w:divBdr>
        <w:top w:val="none" w:sz="0" w:space="0" w:color="auto"/>
        <w:left w:val="none" w:sz="0" w:space="0" w:color="auto"/>
        <w:bottom w:val="none" w:sz="0" w:space="0" w:color="auto"/>
        <w:right w:val="none" w:sz="0" w:space="0" w:color="auto"/>
      </w:divBdr>
    </w:div>
    <w:div w:id="1271939265">
      <w:bodyDiv w:val="1"/>
      <w:marLeft w:val="0"/>
      <w:marRight w:val="0"/>
      <w:marTop w:val="0"/>
      <w:marBottom w:val="0"/>
      <w:divBdr>
        <w:top w:val="none" w:sz="0" w:space="0" w:color="auto"/>
        <w:left w:val="none" w:sz="0" w:space="0" w:color="auto"/>
        <w:bottom w:val="none" w:sz="0" w:space="0" w:color="auto"/>
        <w:right w:val="none" w:sz="0" w:space="0" w:color="auto"/>
      </w:divBdr>
    </w:div>
    <w:div w:id="1393768527">
      <w:bodyDiv w:val="1"/>
      <w:marLeft w:val="0"/>
      <w:marRight w:val="0"/>
      <w:marTop w:val="0"/>
      <w:marBottom w:val="0"/>
      <w:divBdr>
        <w:top w:val="none" w:sz="0" w:space="0" w:color="auto"/>
        <w:left w:val="none" w:sz="0" w:space="0" w:color="auto"/>
        <w:bottom w:val="none" w:sz="0" w:space="0" w:color="auto"/>
        <w:right w:val="none" w:sz="0" w:space="0" w:color="auto"/>
      </w:divBdr>
    </w:div>
    <w:div w:id="1409687559">
      <w:bodyDiv w:val="1"/>
      <w:marLeft w:val="0"/>
      <w:marRight w:val="0"/>
      <w:marTop w:val="0"/>
      <w:marBottom w:val="0"/>
      <w:divBdr>
        <w:top w:val="none" w:sz="0" w:space="0" w:color="auto"/>
        <w:left w:val="none" w:sz="0" w:space="0" w:color="auto"/>
        <w:bottom w:val="none" w:sz="0" w:space="0" w:color="auto"/>
        <w:right w:val="none" w:sz="0" w:space="0" w:color="auto"/>
      </w:divBdr>
    </w:div>
    <w:div w:id="1557665855">
      <w:bodyDiv w:val="1"/>
      <w:marLeft w:val="0"/>
      <w:marRight w:val="0"/>
      <w:marTop w:val="0"/>
      <w:marBottom w:val="0"/>
      <w:divBdr>
        <w:top w:val="none" w:sz="0" w:space="0" w:color="auto"/>
        <w:left w:val="none" w:sz="0" w:space="0" w:color="auto"/>
        <w:bottom w:val="none" w:sz="0" w:space="0" w:color="auto"/>
        <w:right w:val="none" w:sz="0" w:space="0" w:color="auto"/>
      </w:divBdr>
      <w:divsChild>
        <w:div w:id="1130903945">
          <w:marLeft w:val="0"/>
          <w:marRight w:val="0"/>
          <w:marTop w:val="0"/>
          <w:marBottom w:val="0"/>
          <w:divBdr>
            <w:top w:val="none" w:sz="0" w:space="0" w:color="auto"/>
            <w:left w:val="none" w:sz="0" w:space="0" w:color="auto"/>
            <w:bottom w:val="none" w:sz="0" w:space="0" w:color="auto"/>
            <w:right w:val="none" w:sz="0" w:space="0" w:color="auto"/>
          </w:divBdr>
          <w:divsChild>
            <w:div w:id="1542746018">
              <w:marLeft w:val="0"/>
              <w:marRight w:val="0"/>
              <w:marTop w:val="0"/>
              <w:marBottom w:val="0"/>
              <w:divBdr>
                <w:top w:val="none" w:sz="0" w:space="0" w:color="auto"/>
                <w:left w:val="none" w:sz="0" w:space="0" w:color="auto"/>
                <w:bottom w:val="none" w:sz="0" w:space="0" w:color="auto"/>
                <w:right w:val="none" w:sz="0" w:space="0" w:color="auto"/>
              </w:divBdr>
              <w:divsChild>
                <w:div w:id="1603688226">
                  <w:marLeft w:val="0"/>
                  <w:marRight w:val="0"/>
                  <w:marTop w:val="0"/>
                  <w:marBottom w:val="0"/>
                  <w:divBdr>
                    <w:top w:val="none" w:sz="0" w:space="0" w:color="auto"/>
                    <w:left w:val="none" w:sz="0" w:space="0" w:color="auto"/>
                    <w:bottom w:val="none" w:sz="0" w:space="0" w:color="auto"/>
                    <w:right w:val="none" w:sz="0" w:space="0" w:color="auto"/>
                  </w:divBdr>
                  <w:divsChild>
                    <w:div w:id="649209621">
                      <w:marLeft w:val="1"/>
                      <w:marRight w:val="1"/>
                      <w:marTop w:val="0"/>
                      <w:marBottom w:val="0"/>
                      <w:divBdr>
                        <w:top w:val="none" w:sz="0" w:space="0" w:color="auto"/>
                        <w:left w:val="none" w:sz="0" w:space="0" w:color="auto"/>
                        <w:bottom w:val="none" w:sz="0" w:space="0" w:color="auto"/>
                        <w:right w:val="none" w:sz="0" w:space="0" w:color="auto"/>
                      </w:divBdr>
                      <w:divsChild>
                        <w:div w:id="495535316">
                          <w:marLeft w:val="0"/>
                          <w:marRight w:val="0"/>
                          <w:marTop w:val="0"/>
                          <w:marBottom w:val="0"/>
                          <w:divBdr>
                            <w:top w:val="none" w:sz="0" w:space="0" w:color="auto"/>
                            <w:left w:val="none" w:sz="0" w:space="0" w:color="auto"/>
                            <w:bottom w:val="none" w:sz="0" w:space="0" w:color="auto"/>
                            <w:right w:val="none" w:sz="0" w:space="0" w:color="auto"/>
                          </w:divBdr>
                          <w:divsChild>
                            <w:div w:id="1434084820">
                              <w:marLeft w:val="0"/>
                              <w:marRight w:val="0"/>
                              <w:marTop w:val="0"/>
                              <w:marBottom w:val="360"/>
                              <w:divBdr>
                                <w:top w:val="none" w:sz="0" w:space="0" w:color="auto"/>
                                <w:left w:val="none" w:sz="0" w:space="0" w:color="auto"/>
                                <w:bottom w:val="none" w:sz="0" w:space="0" w:color="auto"/>
                                <w:right w:val="none" w:sz="0" w:space="0" w:color="auto"/>
                              </w:divBdr>
                              <w:divsChild>
                                <w:div w:id="564607232">
                                  <w:marLeft w:val="0"/>
                                  <w:marRight w:val="0"/>
                                  <w:marTop w:val="0"/>
                                  <w:marBottom w:val="0"/>
                                  <w:divBdr>
                                    <w:top w:val="none" w:sz="0" w:space="0" w:color="auto"/>
                                    <w:left w:val="none" w:sz="0" w:space="0" w:color="auto"/>
                                    <w:bottom w:val="none" w:sz="0" w:space="0" w:color="auto"/>
                                    <w:right w:val="none" w:sz="0" w:space="0" w:color="auto"/>
                                  </w:divBdr>
                                  <w:divsChild>
                                    <w:div w:id="914783895">
                                      <w:marLeft w:val="0"/>
                                      <w:marRight w:val="0"/>
                                      <w:marTop w:val="0"/>
                                      <w:marBottom w:val="0"/>
                                      <w:divBdr>
                                        <w:top w:val="none" w:sz="0" w:space="0" w:color="auto"/>
                                        <w:left w:val="none" w:sz="0" w:space="0" w:color="auto"/>
                                        <w:bottom w:val="none" w:sz="0" w:space="0" w:color="auto"/>
                                        <w:right w:val="none" w:sz="0" w:space="0" w:color="auto"/>
                                      </w:divBdr>
                                      <w:divsChild>
                                        <w:div w:id="1481144303">
                                          <w:marLeft w:val="0"/>
                                          <w:marRight w:val="0"/>
                                          <w:marTop w:val="0"/>
                                          <w:marBottom w:val="0"/>
                                          <w:divBdr>
                                            <w:top w:val="none" w:sz="0" w:space="0" w:color="auto"/>
                                            <w:left w:val="none" w:sz="0" w:space="0" w:color="auto"/>
                                            <w:bottom w:val="none" w:sz="0" w:space="0" w:color="auto"/>
                                            <w:right w:val="none" w:sz="0" w:space="0" w:color="auto"/>
                                          </w:divBdr>
                                          <w:divsChild>
                                            <w:div w:id="1199244651">
                                              <w:marLeft w:val="0"/>
                                              <w:marRight w:val="0"/>
                                              <w:marTop w:val="0"/>
                                              <w:marBottom w:val="0"/>
                                              <w:divBdr>
                                                <w:top w:val="none" w:sz="0" w:space="0" w:color="auto"/>
                                                <w:left w:val="none" w:sz="0" w:space="0" w:color="auto"/>
                                                <w:bottom w:val="none" w:sz="0" w:space="0" w:color="auto"/>
                                                <w:right w:val="none" w:sz="0" w:space="0" w:color="auto"/>
                                              </w:divBdr>
                                              <w:divsChild>
                                                <w:div w:id="5431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824668">
      <w:bodyDiv w:val="1"/>
      <w:marLeft w:val="0"/>
      <w:marRight w:val="0"/>
      <w:marTop w:val="0"/>
      <w:marBottom w:val="0"/>
      <w:divBdr>
        <w:top w:val="none" w:sz="0" w:space="0" w:color="auto"/>
        <w:left w:val="none" w:sz="0" w:space="0" w:color="auto"/>
        <w:bottom w:val="none" w:sz="0" w:space="0" w:color="auto"/>
        <w:right w:val="none" w:sz="0" w:space="0" w:color="auto"/>
      </w:divBdr>
    </w:div>
    <w:div w:id="1585646557">
      <w:bodyDiv w:val="1"/>
      <w:marLeft w:val="0"/>
      <w:marRight w:val="0"/>
      <w:marTop w:val="0"/>
      <w:marBottom w:val="0"/>
      <w:divBdr>
        <w:top w:val="none" w:sz="0" w:space="0" w:color="auto"/>
        <w:left w:val="none" w:sz="0" w:space="0" w:color="auto"/>
        <w:bottom w:val="none" w:sz="0" w:space="0" w:color="auto"/>
        <w:right w:val="none" w:sz="0" w:space="0" w:color="auto"/>
      </w:divBdr>
    </w:div>
    <w:div w:id="1599682026">
      <w:bodyDiv w:val="1"/>
      <w:marLeft w:val="0"/>
      <w:marRight w:val="0"/>
      <w:marTop w:val="0"/>
      <w:marBottom w:val="0"/>
      <w:divBdr>
        <w:top w:val="none" w:sz="0" w:space="0" w:color="auto"/>
        <w:left w:val="none" w:sz="0" w:space="0" w:color="auto"/>
        <w:bottom w:val="none" w:sz="0" w:space="0" w:color="auto"/>
        <w:right w:val="none" w:sz="0" w:space="0" w:color="auto"/>
      </w:divBdr>
      <w:divsChild>
        <w:div w:id="113597082">
          <w:marLeft w:val="0"/>
          <w:marRight w:val="0"/>
          <w:marTop w:val="0"/>
          <w:marBottom w:val="0"/>
          <w:divBdr>
            <w:top w:val="none" w:sz="0" w:space="0" w:color="auto"/>
            <w:left w:val="none" w:sz="0" w:space="0" w:color="auto"/>
            <w:bottom w:val="none" w:sz="0" w:space="0" w:color="auto"/>
            <w:right w:val="none" w:sz="0" w:space="0" w:color="auto"/>
          </w:divBdr>
          <w:divsChild>
            <w:div w:id="1219244849">
              <w:marLeft w:val="0"/>
              <w:marRight w:val="0"/>
              <w:marTop w:val="0"/>
              <w:marBottom w:val="0"/>
              <w:divBdr>
                <w:top w:val="none" w:sz="0" w:space="0" w:color="auto"/>
                <w:left w:val="none" w:sz="0" w:space="0" w:color="auto"/>
                <w:bottom w:val="none" w:sz="0" w:space="0" w:color="auto"/>
                <w:right w:val="none" w:sz="0" w:space="0" w:color="auto"/>
              </w:divBdr>
              <w:divsChild>
                <w:div w:id="663093440">
                  <w:marLeft w:val="0"/>
                  <w:marRight w:val="0"/>
                  <w:marTop w:val="0"/>
                  <w:marBottom w:val="0"/>
                  <w:divBdr>
                    <w:top w:val="none" w:sz="0" w:space="0" w:color="auto"/>
                    <w:left w:val="none" w:sz="0" w:space="0" w:color="auto"/>
                    <w:bottom w:val="none" w:sz="0" w:space="0" w:color="auto"/>
                    <w:right w:val="none" w:sz="0" w:space="0" w:color="auto"/>
                  </w:divBdr>
                  <w:divsChild>
                    <w:div w:id="526722852">
                      <w:marLeft w:val="1"/>
                      <w:marRight w:val="1"/>
                      <w:marTop w:val="0"/>
                      <w:marBottom w:val="0"/>
                      <w:divBdr>
                        <w:top w:val="none" w:sz="0" w:space="0" w:color="auto"/>
                        <w:left w:val="none" w:sz="0" w:space="0" w:color="auto"/>
                        <w:bottom w:val="none" w:sz="0" w:space="0" w:color="auto"/>
                        <w:right w:val="none" w:sz="0" w:space="0" w:color="auto"/>
                      </w:divBdr>
                      <w:divsChild>
                        <w:div w:id="545064911">
                          <w:marLeft w:val="0"/>
                          <w:marRight w:val="0"/>
                          <w:marTop w:val="0"/>
                          <w:marBottom w:val="0"/>
                          <w:divBdr>
                            <w:top w:val="none" w:sz="0" w:space="0" w:color="auto"/>
                            <w:left w:val="none" w:sz="0" w:space="0" w:color="auto"/>
                            <w:bottom w:val="none" w:sz="0" w:space="0" w:color="auto"/>
                            <w:right w:val="none" w:sz="0" w:space="0" w:color="auto"/>
                          </w:divBdr>
                          <w:divsChild>
                            <w:div w:id="1467315659">
                              <w:marLeft w:val="0"/>
                              <w:marRight w:val="0"/>
                              <w:marTop w:val="0"/>
                              <w:marBottom w:val="360"/>
                              <w:divBdr>
                                <w:top w:val="none" w:sz="0" w:space="0" w:color="auto"/>
                                <w:left w:val="none" w:sz="0" w:space="0" w:color="auto"/>
                                <w:bottom w:val="none" w:sz="0" w:space="0" w:color="auto"/>
                                <w:right w:val="none" w:sz="0" w:space="0" w:color="auto"/>
                              </w:divBdr>
                              <w:divsChild>
                                <w:div w:id="1670597760">
                                  <w:marLeft w:val="0"/>
                                  <w:marRight w:val="0"/>
                                  <w:marTop w:val="0"/>
                                  <w:marBottom w:val="0"/>
                                  <w:divBdr>
                                    <w:top w:val="none" w:sz="0" w:space="0" w:color="auto"/>
                                    <w:left w:val="none" w:sz="0" w:space="0" w:color="auto"/>
                                    <w:bottom w:val="none" w:sz="0" w:space="0" w:color="auto"/>
                                    <w:right w:val="none" w:sz="0" w:space="0" w:color="auto"/>
                                  </w:divBdr>
                                  <w:divsChild>
                                    <w:div w:id="2117631968">
                                      <w:marLeft w:val="0"/>
                                      <w:marRight w:val="0"/>
                                      <w:marTop w:val="0"/>
                                      <w:marBottom w:val="0"/>
                                      <w:divBdr>
                                        <w:top w:val="none" w:sz="0" w:space="0" w:color="auto"/>
                                        <w:left w:val="none" w:sz="0" w:space="0" w:color="auto"/>
                                        <w:bottom w:val="none" w:sz="0" w:space="0" w:color="auto"/>
                                        <w:right w:val="none" w:sz="0" w:space="0" w:color="auto"/>
                                      </w:divBdr>
                                      <w:divsChild>
                                        <w:div w:id="2140369321">
                                          <w:marLeft w:val="0"/>
                                          <w:marRight w:val="0"/>
                                          <w:marTop w:val="0"/>
                                          <w:marBottom w:val="0"/>
                                          <w:divBdr>
                                            <w:top w:val="none" w:sz="0" w:space="0" w:color="auto"/>
                                            <w:left w:val="none" w:sz="0" w:space="0" w:color="auto"/>
                                            <w:bottom w:val="none" w:sz="0" w:space="0" w:color="auto"/>
                                            <w:right w:val="none" w:sz="0" w:space="0" w:color="auto"/>
                                          </w:divBdr>
                                          <w:divsChild>
                                            <w:div w:id="1965767417">
                                              <w:marLeft w:val="0"/>
                                              <w:marRight w:val="0"/>
                                              <w:marTop w:val="0"/>
                                              <w:marBottom w:val="0"/>
                                              <w:divBdr>
                                                <w:top w:val="none" w:sz="0" w:space="0" w:color="auto"/>
                                                <w:left w:val="none" w:sz="0" w:space="0" w:color="auto"/>
                                                <w:bottom w:val="none" w:sz="0" w:space="0" w:color="auto"/>
                                                <w:right w:val="none" w:sz="0" w:space="0" w:color="auto"/>
                                              </w:divBdr>
                                              <w:divsChild>
                                                <w:div w:id="10629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047409">
      <w:bodyDiv w:val="1"/>
      <w:marLeft w:val="0"/>
      <w:marRight w:val="0"/>
      <w:marTop w:val="0"/>
      <w:marBottom w:val="0"/>
      <w:divBdr>
        <w:top w:val="none" w:sz="0" w:space="0" w:color="auto"/>
        <w:left w:val="none" w:sz="0" w:space="0" w:color="auto"/>
        <w:bottom w:val="none" w:sz="0" w:space="0" w:color="auto"/>
        <w:right w:val="none" w:sz="0" w:space="0" w:color="auto"/>
      </w:divBdr>
    </w:div>
    <w:div w:id="1658536698">
      <w:bodyDiv w:val="1"/>
      <w:marLeft w:val="0"/>
      <w:marRight w:val="0"/>
      <w:marTop w:val="0"/>
      <w:marBottom w:val="0"/>
      <w:divBdr>
        <w:top w:val="none" w:sz="0" w:space="0" w:color="auto"/>
        <w:left w:val="none" w:sz="0" w:space="0" w:color="auto"/>
        <w:bottom w:val="none" w:sz="0" w:space="0" w:color="auto"/>
        <w:right w:val="none" w:sz="0" w:space="0" w:color="auto"/>
      </w:divBdr>
    </w:div>
    <w:div w:id="1689333624">
      <w:bodyDiv w:val="1"/>
      <w:marLeft w:val="0"/>
      <w:marRight w:val="0"/>
      <w:marTop w:val="0"/>
      <w:marBottom w:val="0"/>
      <w:divBdr>
        <w:top w:val="none" w:sz="0" w:space="0" w:color="auto"/>
        <w:left w:val="none" w:sz="0" w:space="0" w:color="auto"/>
        <w:bottom w:val="none" w:sz="0" w:space="0" w:color="auto"/>
        <w:right w:val="none" w:sz="0" w:space="0" w:color="auto"/>
      </w:divBdr>
    </w:div>
    <w:div w:id="1698846047">
      <w:bodyDiv w:val="1"/>
      <w:marLeft w:val="0"/>
      <w:marRight w:val="0"/>
      <w:marTop w:val="0"/>
      <w:marBottom w:val="0"/>
      <w:divBdr>
        <w:top w:val="none" w:sz="0" w:space="0" w:color="auto"/>
        <w:left w:val="none" w:sz="0" w:space="0" w:color="auto"/>
        <w:bottom w:val="none" w:sz="0" w:space="0" w:color="auto"/>
        <w:right w:val="none" w:sz="0" w:space="0" w:color="auto"/>
      </w:divBdr>
      <w:divsChild>
        <w:div w:id="639770302">
          <w:marLeft w:val="0"/>
          <w:marRight w:val="0"/>
          <w:marTop w:val="0"/>
          <w:marBottom w:val="0"/>
          <w:divBdr>
            <w:top w:val="none" w:sz="0" w:space="0" w:color="auto"/>
            <w:left w:val="none" w:sz="0" w:space="0" w:color="auto"/>
            <w:bottom w:val="none" w:sz="0" w:space="0" w:color="auto"/>
            <w:right w:val="none" w:sz="0" w:space="0" w:color="auto"/>
          </w:divBdr>
          <w:divsChild>
            <w:div w:id="2085370902">
              <w:marLeft w:val="0"/>
              <w:marRight w:val="0"/>
              <w:marTop w:val="0"/>
              <w:marBottom w:val="0"/>
              <w:divBdr>
                <w:top w:val="none" w:sz="0" w:space="0" w:color="auto"/>
                <w:left w:val="none" w:sz="0" w:space="0" w:color="auto"/>
                <w:bottom w:val="none" w:sz="0" w:space="0" w:color="auto"/>
                <w:right w:val="none" w:sz="0" w:space="0" w:color="auto"/>
              </w:divBdr>
              <w:divsChild>
                <w:div w:id="87622105">
                  <w:marLeft w:val="0"/>
                  <w:marRight w:val="0"/>
                  <w:marTop w:val="0"/>
                  <w:marBottom w:val="0"/>
                  <w:divBdr>
                    <w:top w:val="none" w:sz="0" w:space="0" w:color="auto"/>
                    <w:left w:val="none" w:sz="0" w:space="0" w:color="auto"/>
                    <w:bottom w:val="none" w:sz="0" w:space="0" w:color="auto"/>
                    <w:right w:val="none" w:sz="0" w:space="0" w:color="auto"/>
                  </w:divBdr>
                  <w:divsChild>
                    <w:div w:id="1545874385">
                      <w:marLeft w:val="1"/>
                      <w:marRight w:val="1"/>
                      <w:marTop w:val="0"/>
                      <w:marBottom w:val="0"/>
                      <w:divBdr>
                        <w:top w:val="none" w:sz="0" w:space="0" w:color="auto"/>
                        <w:left w:val="none" w:sz="0" w:space="0" w:color="auto"/>
                        <w:bottom w:val="none" w:sz="0" w:space="0" w:color="auto"/>
                        <w:right w:val="none" w:sz="0" w:space="0" w:color="auto"/>
                      </w:divBdr>
                      <w:divsChild>
                        <w:div w:id="1627814970">
                          <w:marLeft w:val="0"/>
                          <w:marRight w:val="0"/>
                          <w:marTop w:val="0"/>
                          <w:marBottom w:val="0"/>
                          <w:divBdr>
                            <w:top w:val="none" w:sz="0" w:space="0" w:color="auto"/>
                            <w:left w:val="none" w:sz="0" w:space="0" w:color="auto"/>
                            <w:bottom w:val="none" w:sz="0" w:space="0" w:color="auto"/>
                            <w:right w:val="none" w:sz="0" w:space="0" w:color="auto"/>
                          </w:divBdr>
                          <w:divsChild>
                            <w:div w:id="824929016">
                              <w:marLeft w:val="0"/>
                              <w:marRight w:val="0"/>
                              <w:marTop w:val="0"/>
                              <w:marBottom w:val="360"/>
                              <w:divBdr>
                                <w:top w:val="none" w:sz="0" w:space="0" w:color="auto"/>
                                <w:left w:val="none" w:sz="0" w:space="0" w:color="auto"/>
                                <w:bottom w:val="none" w:sz="0" w:space="0" w:color="auto"/>
                                <w:right w:val="none" w:sz="0" w:space="0" w:color="auto"/>
                              </w:divBdr>
                              <w:divsChild>
                                <w:div w:id="1549295404">
                                  <w:marLeft w:val="0"/>
                                  <w:marRight w:val="0"/>
                                  <w:marTop w:val="0"/>
                                  <w:marBottom w:val="0"/>
                                  <w:divBdr>
                                    <w:top w:val="none" w:sz="0" w:space="0" w:color="auto"/>
                                    <w:left w:val="none" w:sz="0" w:space="0" w:color="auto"/>
                                    <w:bottom w:val="none" w:sz="0" w:space="0" w:color="auto"/>
                                    <w:right w:val="none" w:sz="0" w:space="0" w:color="auto"/>
                                  </w:divBdr>
                                  <w:divsChild>
                                    <w:div w:id="237522922">
                                      <w:marLeft w:val="0"/>
                                      <w:marRight w:val="0"/>
                                      <w:marTop w:val="0"/>
                                      <w:marBottom w:val="0"/>
                                      <w:divBdr>
                                        <w:top w:val="none" w:sz="0" w:space="0" w:color="auto"/>
                                        <w:left w:val="none" w:sz="0" w:space="0" w:color="auto"/>
                                        <w:bottom w:val="none" w:sz="0" w:space="0" w:color="auto"/>
                                        <w:right w:val="none" w:sz="0" w:space="0" w:color="auto"/>
                                      </w:divBdr>
                                      <w:divsChild>
                                        <w:div w:id="373627099">
                                          <w:marLeft w:val="0"/>
                                          <w:marRight w:val="0"/>
                                          <w:marTop w:val="0"/>
                                          <w:marBottom w:val="0"/>
                                          <w:divBdr>
                                            <w:top w:val="none" w:sz="0" w:space="0" w:color="auto"/>
                                            <w:left w:val="none" w:sz="0" w:space="0" w:color="auto"/>
                                            <w:bottom w:val="none" w:sz="0" w:space="0" w:color="auto"/>
                                            <w:right w:val="none" w:sz="0" w:space="0" w:color="auto"/>
                                          </w:divBdr>
                                          <w:divsChild>
                                            <w:div w:id="703215293">
                                              <w:marLeft w:val="0"/>
                                              <w:marRight w:val="0"/>
                                              <w:marTop w:val="0"/>
                                              <w:marBottom w:val="0"/>
                                              <w:divBdr>
                                                <w:top w:val="none" w:sz="0" w:space="0" w:color="auto"/>
                                                <w:left w:val="none" w:sz="0" w:space="0" w:color="auto"/>
                                                <w:bottom w:val="none" w:sz="0" w:space="0" w:color="auto"/>
                                                <w:right w:val="none" w:sz="0" w:space="0" w:color="auto"/>
                                              </w:divBdr>
                                              <w:divsChild>
                                                <w:div w:id="309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322099">
      <w:bodyDiv w:val="1"/>
      <w:marLeft w:val="0"/>
      <w:marRight w:val="0"/>
      <w:marTop w:val="0"/>
      <w:marBottom w:val="0"/>
      <w:divBdr>
        <w:top w:val="none" w:sz="0" w:space="0" w:color="auto"/>
        <w:left w:val="none" w:sz="0" w:space="0" w:color="auto"/>
        <w:bottom w:val="none" w:sz="0" w:space="0" w:color="auto"/>
        <w:right w:val="none" w:sz="0" w:space="0" w:color="auto"/>
      </w:divBdr>
      <w:divsChild>
        <w:div w:id="1268731829">
          <w:marLeft w:val="0"/>
          <w:marRight w:val="0"/>
          <w:marTop w:val="0"/>
          <w:marBottom w:val="0"/>
          <w:divBdr>
            <w:top w:val="none" w:sz="0" w:space="0" w:color="auto"/>
            <w:left w:val="none" w:sz="0" w:space="0" w:color="auto"/>
            <w:bottom w:val="none" w:sz="0" w:space="0" w:color="auto"/>
            <w:right w:val="none" w:sz="0" w:space="0" w:color="auto"/>
          </w:divBdr>
          <w:divsChild>
            <w:div w:id="1532259621">
              <w:marLeft w:val="0"/>
              <w:marRight w:val="0"/>
              <w:marTop w:val="0"/>
              <w:marBottom w:val="0"/>
              <w:divBdr>
                <w:top w:val="none" w:sz="0" w:space="0" w:color="auto"/>
                <w:left w:val="none" w:sz="0" w:space="0" w:color="auto"/>
                <w:bottom w:val="none" w:sz="0" w:space="0" w:color="auto"/>
                <w:right w:val="none" w:sz="0" w:space="0" w:color="auto"/>
              </w:divBdr>
              <w:divsChild>
                <w:div w:id="1662848627">
                  <w:marLeft w:val="0"/>
                  <w:marRight w:val="0"/>
                  <w:marTop w:val="0"/>
                  <w:marBottom w:val="0"/>
                  <w:divBdr>
                    <w:top w:val="none" w:sz="0" w:space="0" w:color="auto"/>
                    <w:left w:val="none" w:sz="0" w:space="0" w:color="auto"/>
                    <w:bottom w:val="none" w:sz="0" w:space="0" w:color="auto"/>
                    <w:right w:val="none" w:sz="0" w:space="0" w:color="auto"/>
                  </w:divBdr>
                  <w:divsChild>
                    <w:div w:id="6176161">
                      <w:marLeft w:val="1"/>
                      <w:marRight w:val="1"/>
                      <w:marTop w:val="0"/>
                      <w:marBottom w:val="0"/>
                      <w:divBdr>
                        <w:top w:val="none" w:sz="0" w:space="0" w:color="auto"/>
                        <w:left w:val="none" w:sz="0" w:space="0" w:color="auto"/>
                        <w:bottom w:val="none" w:sz="0" w:space="0" w:color="auto"/>
                        <w:right w:val="none" w:sz="0" w:space="0" w:color="auto"/>
                      </w:divBdr>
                      <w:divsChild>
                        <w:div w:id="1114441315">
                          <w:marLeft w:val="0"/>
                          <w:marRight w:val="0"/>
                          <w:marTop w:val="0"/>
                          <w:marBottom w:val="0"/>
                          <w:divBdr>
                            <w:top w:val="none" w:sz="0" w:space="0" w:color="auto"/>
                            <w:left w:val="none" w:sz="0" w:space="0" w:color="auto"/>
                            <w:bottom w:val="none" w:sz="0" w:space="0" w:color="auto"/>
                            <w:right w:val="none" w:sz="0" w:space="0" w:color="auto"/>
                          </w:divBdr>
                          <w:divsChild>
                            <w:div w:id="1086345126">
                              <w:marLeft w:val="0"/>
                              <w:marRight w:val="0"/>
                              <w:marTop w:val="0"/>
                              <w:marBottom w:val="360"/>
                              <w:divBdr>
                                <w:top w:val="none" w:sz="0" w:space="0" w:color="auto"/>
                                <w:left w:val="none" w:sz="0" w:space="0" w:color="auto"/>
                                <w:bottom w:val="none" w:sz="0" w:space="0" w:color="auto"/>
                                <w:right w:val="none" w:sz="0" w:space="0" w:color="auto"/>
                              </w:divBdr>
                              <w:divsChild>
                                <w:div w:id="419640762">
                                  <w:marLeft w:val="0"/>
                                  <w:marRight w:val="0"/>
                                  <w:marTop w:val="0"/>
                                  <w:marBottom w:val="0"/>
                                  <w:divBdr>
                                    <w:top w:val="none" w:sz="0" w:space="0" w:color="auto"/>
                                    <w:left w:val="none" w:sz="0" w:space="0" w:color="auto"/>
                                    <w:bottom w:val="none" w:sz="0" w:space="0" w:color="auto"/>
                                    <w:right w:val="none" w:sz="0" w:space="0" w:color="auto"/>
                                  </w:divBdr>
                                  <w:divsChild>
                                    <w:div w:id="1164005832">
                                      <w:marLeft w:val="0"/>
                                      <w:marRight w:val="0"/>
                                      <w:marTop w:val="0"/>
                                      <w:marBottom w:val="0"/>
                                      <w:divBdr>
                                        <w:top w:val="none" w:sz="0" w:space="0" w:color="auto"/>
                                        <w:left w:val="none" w:sz="0" w:space="0" w:color="auto"/>
                                        <w:bottom w:val="none" w:sz="0" w:space="0" w:color="auto"/>
                                        <w:right w:val="none" w:sz="0" w:space="0" w:color="auto"/>
                                      </w:divBdr>
                                      <w:divsChild>
                                        <w:div w:id="545023702">
                                          <w:marLeft w:val="0"/>
                                          <w:marRight w:val="0"/>
                                          <w:marTop w:val="0"/>
                                          <w:marBottom w:val="0"/>
                                          <w:divBdr>
                                            <w:top w:val="none" w:sz="0" w:space="0" w:color="auto"/>
                                            <w:left w:val="none" w:sz="0" w:space="0" w:color="auto"/>
                                            <w:bottom w:val="none" w:sz="0" w:space="0" w:color="auto"/>
                                            <w:right w:val="none" w:sz="0" w:space="0" w:color="auto"/>
                                          </w:divBdr>
                                          <w:divsChild>
                                            <w:div w:id="754673662">
                                              <w:marLeft w:val="0"/>
                                              <w:marRight w:val="0"/>
                                              <w:marTop w:val="0"/>
                                              <w:marBottom w:val="0"/>
                                              <w:divBdr>
                                                <w:top w:val="none" w:sz="0" w:space="0" w:color="auto"/>
                                                <w:left w:val="none" w:sz="0" w:space="0" w:color="auto"/>
                                                <w:bottom w:val="none" w:sz="0" w:space="0" w:color="auto"/>
                                                <w:right w:val="none" w:sz="0" w:space="0" w:color="auto"/>
                                              </w:divBdr>
                                              <w:divsChild>
                                                <w:div w:id="16101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485381">
      <w:bodyDiv w:val="1"/>
      <w:marLeft w:val="0"/>
      <w:marRight w:val="0"/>
      <w:marTop w:val="0"/>
      <w:marBottom w:val="0"/>
      <w:divBdr>
        <w:top w:val="none" w:sz="0" w:space="0" w:color="auto"/>
        <w:left w:val="none" w:sz="0" w:space="0" w:color="auto"/>
        <w:bottom w:val="none" w:sz="0" w:space="0" w:color="auto"/>
        <w:right w:val="none" w:sz="0" w:space="0" w:color="auto"/>
      </w:divBdr>
    </w:div>
    <w:div w:id="1832257903">
      <w:bodyDiv w:val="1"/>
      <w:marLeft w:val="0"/>
      <w:marRight w:val="0"/>
      <w:marTop w:val="0"/>
      <w:marBottom w:val="0"/>
      <w:divBdr>
        <w:top w:val="none" w:sz="0" w:space="0" w:color="auto"/>
        <w:left w:val="none" w:sz="0" w:space="0" w:color="auto"/>
        <w:bottom w:val="none" w:sz="0" w:space="0" w:color="auto"/>
        <w:right w:val="none" w:sz="0" w:space="0" w:color="auto"/>
      </w:divBdr>
    </w:div>
    <w:div w:id="1848639675">
      <w:bodyDiv w:val="1"/>
      <w:marLeft w:val="0"/>
      <w:marRight w:val="0"/>
      <w:marTop w:val="0"/>
      <w:marBottom w:val="0"/>
      <w:divBdr>
        <w:top w:val="none" w:sz="0" w:space="0" w:color="auto"/>
        <w:left w:val="none" w:sz="0" w:space="0" w:color="auto"/>
        <w:bottom w:val="none" w:sz="0" w:space="0" w:color="auto"/>
        <w:right w:val="none" w:sz="0" w:space="0" w:color="auto"/>
      </w:divBdr>
    </w:div>
    <w:div w:id="1854488136">
      <w:bodyDiv w:val="1"/>
      <w:marLeft w:val="0"/>
      <w:marRight w:val="0"/>
      <w:marTop w:val="0"/>
      <w:marBottom w:val="0"/>
      <w:divBdr>
        <w:top w:val="none" w:sz="0" w:space="0" w:color="auto"/>
        <w:left w:val="none" w:sz="0" w:space="0" w:color="auto"/>
        <w:bottom w:val="none" w:sz="0" w:space="0" w:color="auto"/>
        <w:right w:val="none" w:sz="0" w:space="0" w:color="auto"/>
      </w:divBdr>
      <w:divsChild>
        <w:div w:id="1624578009">
          <w:marLeft w:val="0"/>
          <w:marRight w:val="0"/>
          <w:marTop w:val="0"/>
          <w:marBottom w:val="0"/>
          <w:divBdr>
            <w:top w:val="none" w:sz="0" w:space="0" w:color="auto"/>
            <w:left w:val="none" w:sz="0" w:space="0" w:color="auto"/>
            <w:bottom w:val="none" w:sz="0" w:space="0" w:color="auto"/>
            <w:right w:val="none" w:sz="0" w:space="0" w:color="auto"/>
          </w:divBdr>
          <w:divsChild>
            <w:div w:id="540559791">
              <w:marLeft w:val="0"/>
              <w:marRight w:val="0"/>
              <w:marTop w:val="0"/>
              <w:marBottom w:val="0"/>
              <w:divBdr>
                <w:top w:val="none" w:sz="0" w:space="0" w:color="auto"/>
                <w:left w:val="none" w:sz="0" w:space="0" w:color="auto"/>
                <w:bottom w:val="none" w:sz="0" w:space="0" w:color="auto"/>
                <w:right w:val="none" w:sz="0" w:space="0" w:color="auto"/>
              </w:divBdr>
              <w:divsChild>
                <w:div w:id="1867016460">
                  <w:marLeft w:val="0"/>
                  <w:marRight w:val="0"/>
                  <w:marTop w:val="0"/>
                  <w:marBottom w:val="0"/>
                  <w:divBdr>
                    <w:top w:val="none" w:sz="0" w:space="0" w:color="auto"/>
                    <w:left w:val="none" w:sz="0" w:space="0" w:color="auto"/>
                    <w:bottom w:val="none" w:sz="0" w:space="0" w:color="auto"/>
                    <w:right w:val="none" w:sz="0" w:space="0" w:color="auto"/>
                  </w:divBdr>
                  <w:divsChild>
                    <w:div w:id="1540121563">
                      <w:marLeft w:val="1"/>
                      <w:marRight w:val="1"/>
                      <w:marTop w:val="0"/>
                      <w:marBottom w:val="0"/>
                      <w:divBdr>
                        <w:top w:val="none" w:sz="0" w:space="0" w:color="auto"/>
                        <w:left w:val="none" w:sz="0" w:space="0" w:color="auto"/>
                        <w:bottom w:val="none" w:sz="0" w:space="0" w:color="auto"/>
                        <w:right w:val="none" w:sz="0" w:space="0" w:color="auto"/>
                      </w:divBdr>
                      <w:divsChild>
                        <w:div w:id="104347004">
                          <w:marLeft w:val="0"/>
                          <w:marRight w:val="0"/>
                          <w:marTop w:val="0"/>
                          <w:marBottom w:val="0"/>
                          <w:divBdr>
                            <w:top w:val="none" w:sz="0" w:space="0" w:color="auto"/>
                            <w:left w:val="none" w:sz="0" w:space="0" w:color="auto"/>
                            <w:bottom w:val="none" w:sz="0" w:space="0" w:color="auto"/>
                            <w:right w:val="none" w:sz="0" w:space="0" w:color="auto"/>
                          </w:divBdr>
                          <w:divsChild>
                            <w:div w:id="1755474695">
                              <w:marLeft w:val="0"/>
                              <w:marRight w:val="0"/>
                              <w:marTop w:val="0"/>
                              <w:marBottom w:val="360"/>
                              <w:divBdr>
                                <w:top w:val="none" w:sz="0" w:space="0" w:color="auto"/>
                                <w:left w:val="none" w:sz="0" w:space="0" w:color="auto"/>
                                <w:bottom w:val="none" w:sz="0" w:space="0" w:color="auto"/>
                                <w:right w:val="none" w:sz="0" w:space="0" w:color="auto"/>
                              </w:divBdr>
                              <w:divsChild>
                                <w:div w:id="1629969767">
                                  <w:marLeft w:val="0"/>
                                  <w:marRight w:val="0"/>
                                  <w:marTop w:val="0"/>
                                  <w:marBottom w:val="0"/>
                                  <w:divBdr>
                                    <w:top w:val="none" w:sz="0" w:space="0" w:color="auto"/>
                                    <w:left w:val="none" w:sz="0" w:space="0" w:color="auto"/>
                                    <w:bottom w:val="none" w:sz="0" w:space="0" w:color="auto"/>
                                    <w:right w:val="none" w:sz="0" w:space="0" w:color="auto"/>
                                  </w:divBdr>
                                  <w:divsChild>
                                    <w:div w:id="1137529751">
                                      <w:marLeft w:val="0"/>
                                      <w:marRight w:val="0"/>
                                      <w:marTop w:val="0"/>
                                      <w:marBottom w:val="0"/>
                                      <w:divBdr>
                                        <w:top w:val="none" w:sz="0" w:space="0" w:color="auto"/>
                                        <w:left w:val="none" w:sz="0" w:space="0" w:color="auto"/>
                                        <w:bottom w:val="none" w:sz="0" w:space="0" w:color="auto"/>
                                        <w:right w:val="none" w:sz="0" w:space="0" w:color="auto"/>
                                      </w:divBdr>
                                      <w:divsChild>
                                        <w:div w:id="1639652602">
                                          <w:marLeft w:val="0"/>
                                          <w:marRight w:val="0"/>
                                          <w:marTop w:val="0"/>
                                          <w:marBottom w:val="0"/>
                                          <w:divBdr>
                                            <w:top w:val="none" w:sz="0" w:space="0" w:color="auto"/>
                                            <w:left w:val="none" w:sz="0" w:space="0" w:color="auto"/>
                                            <w:bottom w:val="none" w:sz="0" w:space="0" w:color="auto"/>
                                            <w:right w:val="none" w:sz="0" w:space="0" w:color="auto"/>
                                          </w:divBdr>
                                          <w:divsChild>
                                            <w:div w:id="938559892">
                                              <w:marLeft w:val="0"/>
                                              <w:marRight w:val="0"/>
                                              <w:marTop w:val="0"/>
                                              <w:marBottom w:val="0"/>
                                              <w:divBdr>
                                                <w:top w:val="none" w:sz="0" w:space="0" w:color="auto"/>
                                                <w:left w:val="none" w:sz="0" w:space="0" w:color="auto"/>
                                                <w:bottom w:val="none" w:sz="0" w:space="0" w:color="auto"/>
                                                <w:right w:val="none" w:sz="0" w:space="0" w:color="auto"/>
                                              </w:divBdr>
                                              <w:divsChild>
                                                <w:div w:id="1007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297272">
      <w:bodyDiv w:val="1"/>
      <w:marLeft w:val="0"/>
      <w:marRight w:val="0"/>
      <w:marTop w:val="0"/>
      <w:marBottom w:val="0"/>
      <w:divBdr>
        <w:top w:val="none" w:sz="0" w:space="0" w:color="auto"/>
        <w:left w:val="none" w:sz="0" w:space="0" w:color="auto"/>
        <w:bottom w:val="none" w:sz="0" w:space="0" w:color="auto"/>
        <w:right w:val="none" w:sz="0" w:space="0" w:color="auto"/>
      </w:divBdr>
    </w:div>
    <w:div w:id="1893078491">
      <w:bodyDiv w:val="1"/>
      <w:marLeft w:val="0"/>
      <w:marRight w:val="0"/>
      <w:marTop w:val="0"/>
      <w:marBottom w:val="0"/>
      <w:divBdr>
        <w:top w:val="none" w:sz="0" w:space="0" w:color="auto"/>
        <w:left w:val="none" w:sz="0" w:space="0" w:color="auto"/>
        <w:bottom w:val="none" w:sz="0" w:space="0" w:color="auto"/>
        <w:right w:val="none" w:sz="0" w:space="0" w:color="auto"/>
      </w:divBdr>
    </w:div>
    <w:div w:id="1928878978">
      <w:bodyDiv w:val="1"/>
      <w:marLeft w:val="0"/>
      <w:marRight w:val="0"/>
      <w:marTop w:val="0"/>
      <w:marBottom w:val="0"/>
      <w:divBdr>
        <w:top w:val="none" w:sz="0" w:space="0" w:color="auto"/>
        <w:left w:val="none" w:sz="0" w:space="0" w:color="auto"/>
        <w:bottom w:val="none" w:sz="0" w:space="0" w:color="auto"/>
        <w:right w:val="none" w:sz="0" w:space="0" w:color="auto"/>
      </w:divBdr>
      <w:divsChild>
        <w:div w:id="1563715821">
          <w:marLeft w:val="0"/>
          <w:marRight w:val="0"/>
          <w:marTop w:val="0"/>
          <w:marBottom w:val="0"/>
          <w:divBdr>
            <w:top w:val="none" w:sz="0" w:space="0" w:color="auto"/>
            <w:left w:val="none" w:sz="0" w:space="0" w:color="auto"/>
            <w:bottom w:val="none" w:sz="0" w:space="0" w:color="auto"/>
            <w:right w:val="none" w:sz="0" w:space="0" w:color="auto"/>
          </w:divBdr>
          <w:divsChild>
            <w:div w:id="1233153277">
              <w:marLeft w:val="0"/>
              <w:marRight w:val="0"/>
              <w:marTop w:val="0"/>
              <w:marBottom w:val="0"/>
              <w:divBdr>
                <w:top w:val="none" w:sz="0" w:space="0" w:color="auto"/>
                <w:left w:val="none" w:sz="0" w:space="0" w:color="auto"/>
                <w:bottom w:val="none" w:sz="0" w:space="0" w:color="auto"/>
                <w:right w:val="none" w:sz="0" w:space="0" w:color="auto"/>
              </w:divBdr>
              <w:divsChild>
                <w:div w:id="1031808712">
                  <w:marLeft w:val="0"/>
                  <w:marRight w:val="0"/>
                  <w:marTop w:val="0"/>
                  <w:marBottom w:val="0"/>
                  <w:divBdr>
                    <w:top w:val="none" w:sz="0" w:space="0" w:color="auto"/>
                    <w:left w:val="none" w:sz="0" w:space="0" w:color="auto"/>
                    <w:bottom w:val="none" w:sz="0" w:space="0" w:color="auto"/>
                    <w:right w:val="none" w:sz="0" w:space="0" w:color="auto"/>
                  </w:divBdr>
                  <w:divsChild>
                    <w:div w:id="1104766891">
                      <w:marLeft w:val="1"/>
                      <w:marRight w:val="1"/>
                      <w:marTop w:val="0"/>
                      <w:marBottom w:val="0"/>
                      <w:divBdr>
                        <w:top w:val="none" w:sz="0" w:space="0" w:color="auto"/>
                        <w:left w:val="none" w:sz="0" w:space="0" w:color="auto"/>
                        <w:bottom w:val="none" w:sz="0" w:space="0" w:color="auto"/>
                        <w:right w:val="none" w:sz="0" w:space="0" w:color="auto"/>
                      </w:divBdr>
                      <w:divsChild>
                        <w:div w:id="1822187692">
                          <w:marLeft w:val="0"/>
                          <w:marRight w:val="0"/>
                          <w:marTop w:val="0"/>
                          <w:marBottom w:val="0"/>
                          <w:divBdr>
                            <w:top w:val="none" w:sz="0" w:space="0" w:color="auto"/>
                            <w:left w:val="none" w:sz="0" w:space="0" w:color="auto"/>
                            <w:bottom w:val="none" w:sz="0" w:space="0" w:color="auto"/>
                            <w:right w:val="none" w:sz="0" w:space="0" w:color="auto"/>
                          </w:divBdr>
                          <w:divsChild>
                            <w:div w:id="603727287">
                              <w:marLeft w:val="0"/>
                              <w:marRight w:val="0"/>
                              <w:marTop w:val="0"/>
                              <w:marBottom w:val="360"/>
                              <w:divBdr>
                                <w:top w:val="none" w:sz="0" w:space="0" w:color="auto"/>
                                <w:left w:val="none" w:sz="0" w:space="0" w:color="auto"/>
                                <w:bottom w:val="none" w:sz="0" w:space="0" w:color="auto"/>
                                <w:right w:val="none" w:sz="0" w:space="0" w:color="auto"/>
                              </w:divBdr>
                              <w:divsChild>
                                <w:div w:id="790900213">
                                  <w:marLeft w:val="0"/>
                                  <w:marRight w:val="0"/>
                                  <w:marTop w:val="0"/>
                                  <w:marBottom w:val="0"/>
                                  <w:divBdr>
                                    <w:top w:val="none" w:sz="0" w:space="0" w:color="auto"/>
                                    <w:left w:val="none" w:sz="0" w:space="0" w:color="auto"/>
                                    <w:bottom w:val="none" w:sz="0" w:space="0" w:color="auto"/>
                                    <w:right w:val="none" w:sz="0" w:space="0" w:color="auto"/>
                                  </w:divBdr>
                                  <w:divsChild>
                                    <w:div w:id="2093770737">
                                      <w:marLeft w:val="0"/>
                                      <w:marRight w:val="0"/>
                                      <w:marTop w:val="0"/>
                                      <w:marBottom w:val="0"/>
                                      <w:divBdr>
                                        <w:top w:val="none" w:sz="0" w:space="0" w:color="auto"/>
                                        <w:left w:val="none" w:sz="0" w:space="0" w:color="auto"/>
                                        <w:bottom w:val="none" w:sz="0" w:space="0" w:color="auto"/>
                                        <w:right w:val="none" w:sz="0" w:space="0" w:color="auto"/>
                                      </w:divBdr>
                                      <w:divsChild>
                                        <w:div w:id="1913197306">
                                          <w:marLeft w:val="0"/>
                                          <w:marRight w:val="0"/>
                                          <w:marTop w:val="0"/>
                                          <w:marBottom w:val="0"/>
                                          <w:divBdr>
                                            <w:top w:val="none" w:sz="0" w:space="0" w:color="auto"/>
                                            <w:left w:val="none" w:sz="0" w:space="0" w:color="auto"/>
                                            <w:bottom w:val="none" w:sz="0" w:space="0" w:color="auto"/>
                                            <w:right w:val="none" w:sz="0" w:space="0" w:color="auto"/>
                                          </w:divBdr>
                                          <w:divsChild>
                                            <w:div w:id="1947346539">
                                              <w:marLeft w:val="0"/>
                                              <w:marRight w:val="0"/>
                                              <w:marTop w:val="0"/>
                                              <w:marBottom w:val="0"/>
                                              <w:divBdr>
                                                <w:top w:val="none" w:sz="0" w:space="0" w:color="auto"/>
                                                <w:left w:val="none" w:sz="0" w:space="0" w:color="auto"/>
                                                <w:bottom w:val="none" w:sz="0" w:space="0" w:color="auto"/>
                                                <w:right w:val="none" w:sz="0" w:space="0" w:color="auto"/>
                                              </w:divBdr>
                                              <w:divsChild>
                                                <w:div w:id="1893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396952">
      <w:bodyDiv w:val="1"/>
      <w:marLeft w:val="0"/>
      <w:marRight w:val="0"/>
      <w:marTop w:val="0"/>
      <w:marBottom w:val="0"/>
      <w:divBdr>
        <w:top w:val="none" w:sz="0" w:space="0" w:color="auto"/>
        <w:left w:val="none" w:sz="0" w:space="0" w:color="auto"/>
        <w:bottom w:val="none" w:sz="0" w:space="0" w:color="auto"/>
        <w:right w:val="none" w:sz="0" w:space="0" w:color="auto"/>
      </w:divBdr>
    </w:div>
    <w:div w:id="2008823956">
      <w:bodyDiv w:val="1"/>
      <w:marLeft w:val="0"/>
      <w:marRight w:val="0"/>
      <w:marTop w:val="0"/>
      <w:marBottom w:val="0"/>
      <w:divBdr>
        <w:top w:val="none" w:sz="0" w:space="0" w:color="auto"/>
        <w:left w:val="none" w:sz="0" w:space="0" w:color="auto"/>
        <w:bottom w:val="none" w:sz="0" w:space="0" w:color="auto"/>
        <w:right w:val="none" w:sz="0" w:space="0" w:color="auto"/>
      </w:divBdr>
    </w:div>
    <w:div w:id="2028821698">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 w:id="2075544216">
      <w:bodyDiv w:val="1"/>
      <w:marLeft w:val="0"/>
      <w:marRight w:val="0"/>
      <w:marTop w:val="0"/>
      <w:marBottom w:val="0"/>
      <w:divBdr>
        <w:top w:val="none" w:sz="0" w:space="0" w:color="auto"/>
        <w:left w:val="none" w:sz="0" w:space="0" w:color="auto"/>
        <w:bottom w:val="none" w:sz="0" w:space="0" w:color="auto"/>
        <w:right w:val="none" w:sz="0" w:space="0" w:color="auto"/>
      </w:divBdr>
      <w:divsChild>
        <w:div w:id="1082873565">
          <w:marLeft w:val="0"/>
          <w:marRight w:val="0"/>
          <w:marTop w:val="0"/>
          <w:marBottom w:val="0"/>
          <w:divBdr>
            <w:top w:val="none" w:sz="0" w:space="0" w:color="auto"/>
            <w:left w:val="none" w:sz="0" w:space="0" w:color="auto"/>
            <w:bottom w:val="none" w:sz="0" w:space="0" w:color="auto"/>
            <w:right w:val="none" w:sz="0" w:space="0" w:color="auto"/>
          </w:divBdr>
          <w:divsChild>
            <w:div w:id="770125061">
              <w:marLeft w:val="0"/>
              <w:marRight w:val="0"/>
              <w:marTop w:val="0"/>
              <w:marBottom w:val="0"/>
              <w:divBdr>
                <w:top w:val="none" w:sz="0" w:space="0" w:color="auto"/>
                <w:left w:val="none" w:sz="0" w:space="0" w:color="auto"/>
                <w:bottom w:val="none" w:sz="0" w:space="0" w:color="auto"/>
                <w:right w:val="none" w:sz="0" w:space="0" w:color="auto"/>
              </w:divBdr>
              <w:divsChild>
                <w:div w:id="1235238013">
                  <w:marLeft w:val="0"/>
                  <w:marRight w:val="0"/>
                  <w:marTop w:val="0"/>
                  <w:marBottom w:val="0"/>
                  <w:divBdr>
                    <w:top w:val="none" w:sz="0" w:space="0" w:color="auto"/>
                    <w:left w:val="none" w:sz="0" w:space="0" w:color="auto"/>
                    <w:bottom w:val="none" w:sz="0" w:space="0" w:color="auto"/>
                    <w:right w:val="none" w:sz="0" w:space="0" w:color="auto"/>
                  </w:divBdr>
                  <w:divsChild>
                    <w:div w:id="131287487">
                      <w:marLeft w:val="1"/>
                      <w:marRight w:val="1"/>
                      <w:marTop w:val="0"/>
                      <w:marBottom w:val="0"/>
                      <w:divBdr>
                        <w:top w:val="none" w:sz="0" w:space="0" w:color="auto"/>
                        <w:left w:val="none" w:sz="0" w:space="0" w:color="auto"/>
                        <w:bottom w:val="none" w:sz="0" w:space="0" w:color="auto"/>
                        <w:right w:val="none" w:sz="0" w:space="0" w:color="auto"/>
                      </w:divBdr>
                      <w:divsChild>
                        <w:div w:id="938685580">
                          <w:marLeft w:val="0"/>
                          <w:marRight w:val="0"/>
                          <w:marTop w:val="0"/>
                          <w:marBottom w:val="0"/>
                          <w:divBdr>
                            <w:top w:val="none" w:sz="0" w:space="0" w:color="auto"/>
                            <w:left w:val="none" w:sz="0" w:space="0" w:color="auto"/>
                            <w:bottom w:val="none" w:sz="0" w:space="0" w:color="auto"/>
                            <w:right w:val="none" w:sz="0" w:space="0" w:color="auto"/>
                          </w:divBdr>
                          <w:divsChild>
                            <w:div w:id="16007831">
                              <w:marLeft w:val="0"/>
                              <w:marRight w:val="0"/>
                              <w:marTop w:val="0"/>
                              <w:marBottom w:val="360"/>
                              <w:divBdr>
                                <w:top w:val="none" w:sz="0" w:space="0" w:color="auto"/>
                                <w:left w:val="none" w:sz="0" w:space="0" w:color="auto"/>
                                <w:bottom w:val="none" w:sz="0" w:space="0" w:color="auto"/>
                                <w:right w:val="none" w:sz="0" w:space="0" w:color="auto"/>
                              </w:divBdr>
                              <w:divsChild>
                                <w:div w:id="1209345023">
                                  <w:marLeft w:val="0"/>
                                  <w:marRight w:val="0"/>
                                  <w:marTop w:val="0"/>
                                  <w:marBottom w:val="0"/>
                                  <w:divBdr>
                                    <w:top w:val="none" w:sz="0" w:space="0" w:color="auto"/>
                                    <w:left w:val="none" w:sz="0" w:space="0" w:color="auto"/>
                                    <w:bottom w:val="none" w:sz="0" w:space="0" w:color="auto"/>
                                    <w:right w:val="none" w:sz="0" w:space="0" w:color="auto"/>
                                  </w:divBdr>
                                  <w:divsChild>
                                    <w:div w:id="512956690">
                                      <w:marLeft w:val="0"/>
                                      <w:marRight w:val="0"/>
                                      <w:marTop w:val="0"/>
                                      <w:marBottom w:val="0"/>
                                      <w:divBdr>
                                        <w:top w:val="none" w:sz="0" w:space="0" w:color="auto"/>
                                        <w:left w:val="none" w:sz="0" w:space="0" w:color="auto"/>
                                        <w:bottom w:val="none" w:sz="0" w:space="0" w:color="auto"/>
                                        <w:right w:val="none" w:sz="0" w:space="0" w:color="auto"/>
                                      </w:divBdr>
                                      <w:divsChild>
                                        <w:div w:id="2046055614">
                                          <w:marLeft w:val="0"/>
                                          <w:marRight w:val="0"/>
                                          <w:marTop w:val="0"/>
                                          <w:marBottom w:val="0"/>
                                          <w:divBdr>
                                            <w:top w:val="none" w:sz="0" w:space="0" w:color="auto"/>
                                            <w:left w:val="none" w:sz="0" w:space="0" w:color="auto"/>
                                            <w:bottom w:val="none" w:sz="0" w:space="0" w:color="auto"/>
                                            <w:right w:val="none" w:sz="0" w:space="0" w:color="auto"/>
                                          </w:divBdr>
                                          <w:divsChild>
                                            <w:div w:id="1173910746">
                                              <w:marLeft w:val="0"/>
                                              <w:marRight w:val="0"/>
                                              <w:marTop w:val="0"/>
                                              <w:marBottom w:val="0"/>
                                              <w:divBdr>
                                                <w:top w:val="none" w:sz="0" w:space="0" w:color="auto"/>
                                                <w:left w:val="none" w:sz="0" w:space="0" w:color="auto"/>
                                                <w:bottom w:val="none" w:sz="0" w:space="0" w:color="auto"/>
                                                <w:right w:val="none" w:sz="0" w:space="0" w:color="auto"/>
                                              </w:divBdr>
                                              <w:divsChild>
                                                <w:div w:id="16665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3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F9E4BF457E4F948BDEE228462223A5"/>
        <w:category>
          <w:name w:val="General"/>
          <w:gallery w:val="placeholder"/>
        </w:category>
        <w:types>
          <w:type w:val="bbPlcHdr"/>
        </w:types>
        <w:behaviors>
          <w:behavior w:val="content"/>
        </w:behaviors>
        <w:guid w:val="{60273205-47CB-42A7-8939-6B2BECE863D5}"/>
      </w:docPartPr>
      <w:docPartBody>
        <w:p w:rsidR="00506200" w:rsidRDefault="000D65D0" w:rsidP="000D65D0">
          <w:pPr>
            <w:pStyle w:val="32F9E4BF457E4F948BDEE228462223A5"/>
          </w:pPr>
          <w:r w:rsidRPr="00B353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D0"/>
    <w:rsid w:val="000D65D0"/>
    <w:rsid w:val="00506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5D0"/>
    <w:rPr>
      <w:color w:val="808080"/>
    </w:rPr>
  </w:style>
  <w:style w:type="paragraph" w:customStyle="1" w:styleId="32F9E4BF457E4F948BDEE228462223A5">
    <w:name w:val="32F9E4BF457E4F948BDEE228462223A5"/>
    <w:rsid w:val="000D6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ur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C832AD758A9E42ADB493C28D0D3198" ma:contentTypeVersion="6" ma:contentTypeDescription="Create a new document." ma:contentTypeScope="" ma:versionID="96b2be74da9801ddeb35990b5d15a058">
  <xsd:schema xmlns:xsd="http://www.w3.org/2001/XMLSchema" xmlns:xs="http://www.w3.org/2001/XMLSchema" xmlns:p="http://schemas.microsoft.com/office/2006/metadata/properties" xmlns:ns2="a5b2ad40-3d87-40d6-9dec-a687ce6a7396" xmlns:ns3="http://schemas.microsoft.com/sharepoint/v4" targetNamespace="http://schemas.microsoft.com/office/2006/metadata/properties" ma:root="true" ma:fieldsID="4c9e1c5f55a92d09fc550a70fb78a8e5" ns2:_="" ns3:_="">
    <xsd:import namespace="a5b2ad40-3d87-40d6-9dec-a687ce6a7396"/>
    <xsd:import namespace="http://schemas.microsoft.com/sharepoint/v4"/>
    <xsd:element name="properties">
      <xsd:complexType>
        <xsd:sequence>
          <xsd:element name="documentManagement">
            <xsd:complexType>
              <xsd:all>
                <xsd:element ref="ns2:DATE_x0020_EiF" minOccurs="0"/>
                <xsd:element ref="ns2:Status" minOccurs="0"/>
                <xsd:element ref="ns2:Type_x0020_of_x0020_Modification" minOccurs="0"/>
                <xsd:element ref="ns2:SAFA_x0020_document" minOccurs="0"/>
                <xsd:element ref="ns2:Referenc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2ad40-3d87-40d6-9dec-a687ce6a7396" elementFormDefault="qualified">
    <xsd:import namespace="http://schemas.microsoft.com/office/2006/documentManagement/types"/>
    <xsd:import namespace="http://schemas.microsoft.com/office/infopath/2007/PartnerControls"/>
    <xsd:element name="DATE_x0020_EiF" ma:index="8" nillable="true" ma:displayName="Start date" ma:internalName="DATE_x0020_EiF">
      <xsd:simpleType>
        <xsd:restriction base="dms:Text">
          <xsd:maxLength value="255"/>
        </xsd:restriction>
      </xsd:simpleType>
    </xsd:element>
    <xsd:element name="Status" ma:index="9" nillable="true" ma:displayName="Status" ma:internalName="Status">
      <xsd:simpleType>
        <xsd:restriction base="dms:Text">
          <xsd:maxLength value="255"/>
        </xsd:restriction>
      </xsd:simpleType>
    </xsd:element>
    <xsd:element name="Type_x0020_of_x0020_Modification" ma:index="10" nillable="true" ma:displayName="Type of Modification" ma:internalName="Type_x0020_of_x0020_Modification">
      <xsd:simpleType>
        <xsd:restriction base="dms:Text">
          <xsd:maxLength value="255"/>
        </xsd:restriction>
      </xsd:simpleType>
    </xsd:element>
    <xsd:element name="SAFA_x0020_document" ma:index="11" nillable="true" ma:displayName="SAFA document" ma:internalName="SAFA_x0020_document">
      <xsd:simpleType>
        <xsd:restriction base="dms:Text">
          <xsd:maxLength value="255"/>
        </xsd:restriction>
      </xsd:simpleType>
    </xsd:element>
    <xsd:element name="Reference" ma:index="12" nillable="true" ma:displayName="Reference" ma:internalName="Refere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AFA_x0020_document xmlns="a5b2ad40-3d87-40d6-9dec-a687ce6a7396">05 - Annex 03 - Policy on A&amp;S</SAFA_x0020_document>
    <IconOverlay xmlns="http://schemas.microsoft.com/sharepoint/v4" xsi:nil="true"/>
    <Reference xmlns="a5b2ad40-3d87-40d6-9dec-a687ce6a7396">Amendment 17</Reference>
    <Status xmlns="a5b2ad40-3d87-40d6-9dec-a687ce6a7396">Pending RG CE approval</Status>
    <Type_x0020_of_x0020_Modification xmlns="a5b2ad40-3d87-40d6-9dec-a687ce6a7396">Amendment</Type_x0020_of_x0020_Modification>
    <DATE_x0020_EiF xmlns="a5b2ad40-3d87-40d6-9dec-a687ce6a7396">Undefined</DATE_x0020_EiF>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8713-B47F-4EB6-82DE-831824FCA7DC}">
  <ds:schemaRefs>
    <ds:schemaRef ds:uri="http://schemas.openxmlformats.org/officeDocument/2006/bibliography"/>
  </ds:schemaRefs>
</ds:datastoreItem>
</file>

<file path=customXml/itemProps2.xml><?xml version="1.0" encoding="utf-8"?>
<ds:datastoreItem xmlns:ds="http://schemas.openxmlformats.org/officeDocument/2006/customXml" ds:itemID="{B9B44F25-87BC-4DB9-9D1E-009FEF43F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2ad40-3d87-40d6-9dec-a687ce6a739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3A42F-33FB-4300-BD3D-94B62A671AE1}">
  <ds:schemaRefs>
    <ds:schemaRef ds:uri="http://schemas.openxmlformats.org/officeDocument/2006/bibliography"/>
  </ds:schemaRefs>
</ds:datastoreItem>
</file>

<file path=customXml/itemProps4.xml><?xml version="1.0" encoding="utf-8"?>
<ds:datastoreItem xmlns:ds="http://schemas.openxmlformats.org/officeDocument/2006/customXml" ds:itemID="{12622C43-63FF-4774-A09E-689CFEFB095B}">
  <ds:schemaRefs>
    <ds:schemaRef ds:uri="http://schemas.openxmlformats.org/officeDocument/2006/bibliography"/>
  </ds:schemaRefs>
</ds:datastoreItem>
</file>

<file path=customXml/itemProps5.xml><?xml version="1.0" encoding="utf-8"?>
<ds:datastoreItem xmlns:ds="http://schemas.openxmlformats.org/officeDocument/2006/customXml" ds:itemID="{116272AD-8271-4E77-921F-742B13E0546E}">
  <ds:schemaRefs>
    <ds:schemaRef ds:uri="http://schemas.microsoft.com/sharepoint/v3/contenttype/forms"/>
  </ds:schemaRefs>
</ds:datastoreItem>
</file>

<file path=customXml/itemProps6.xml><?xml version="1.0" encoding="utf-8"?>
<ds:datastoreItem xmlns:ds="http://schemas.openxmlformats.org/officeDocument/2006/customXml" ds:itemID="{D0576A2C-6BF1-4F47-B19B-7E32DE54B7D2}">
  <ds:schemaRefs>
    <ds:schemaRef ds:uri="http://schemas.microsoft.com/office/2006/metadata/properties"/>
    <ds:schemaRef ds:uri="http://schemas.microsoft.com/office/infopath/2007/PartnerControls"/>
    <ds:schemaRef ds:uri="a5b2ad40-3d87-40d6-9dec-a687ce6a7396"/>
    <ds:schemaRef ds:uri="http://schemas.microsoft.com/sharepoint/v4"/>
  </ds:schemaRefs>
</ds:datastoreItem>
</file>

<file path=customXml/itemProps7.xml><?xml version="1.0" encoding="utf-8"?>
<ds:datastoreItem xmlns:ds="http://schemas.openxmlformats.org/officeDocument/2006/customXml" ds:itemID="{908213ED-D79A-430A-BA05-AC9B987424A2}">
  <ds:schemaRefs>
    <ds:schemaRef ds:uri="http://schemas.openxmlformats.org/officeDocument/2006/bibliography"/>
  </ds:schemaRefs>
</ds:datastoreItem>
</file>

<file path=customXml/itemProps8.xml><?xml version="1.0" encoding="utf-8"?>
<ds:datastoreItem xmlns:ds="http://schemas.openxmlformats.org/officeDocument/2006/customXml" ds:itemID="{06832AD9-A96A-4165-9B45-EC3E4EA1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10058</Words>
  <Characters>57331</Characters>
  <Application>Microsoft Office Word</Application>
  <DocSecurity>0</DocSecurity>
  <Lines>477</Lines>
  <Paragraphs>134</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Supporting Paper for the Load-Frequency Control and Reserves Network Code</vt:lpstr>
      <vt:lpstr>Supporting Paper for the Load-Frequency Control and Reserves Network Code</vt:lpstr>
    </vt:vector>
  </TitlesOfParts>
  <Company>TransnetBW</Company>
  <LinksUpToDate>false</LinksUpToDate>
  <CharactersWithSpaces>67255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for the Load-Frequency Control and Reserves Network Code</dc:title>
  <dc:subject/>
  <dc:creator>Olivares Noguera, Sebastian</dc:creator>
  <cp:keywords/>
  <dc:description/>
  <cp:lastModifiedBy>Joseph</cp:lastModifiedBy>
  <cp:revision>7</cp:revision>
  <cp:lastPrinted>2019-01-28T18:11:00Z</cp:lastPrinted>
  <dcterms:created xsi:type="dcterms:W3CDTF">2021-11-10T15:06:00Z</dcterms:created>
  <dcterms:modified xsi:type="dcterms:W3CDTF">2021-12-13T13:21:00Z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b072dc00-b684-470d-b420-f1120e9295bd</vt:lpwstr>
  </property>
  <property fmtid="{D5CDD505-2E9C-101B-9397-08002B2CF9AE}" pid="3" name="ContentTypeId">
    <vt:lpwstr>0x010100EAC832AD758A9E42ADB493C28D0D3198</vt:lpwstr>
  </property>
  <property fmtid="{D5CDD505-2E9C-101B-9397-08002B2CF9AE}" pid="4" name="TaxKeyword">
    <vt:lpwstr/>
  </property>
  <property fmtid="{D5CDD505-2E9C-101B-9397-08002B2CF9AE}" pid="5" name="Level of Disclosure">
    <vt:lpwstr/>
  </property>
  <property fmtid="{D5CDD505-2E9C-101B-9397-08002B2CF9AE}" pid="6" name="Data Classification">
    <vt:lpwstr>4019;#Open within ENTSO-E only|9abc0ec8-f4dc-4890-bc00-2ed7d301575a</vt:lpwstr>
  </property>
  <property fmtid="{D5CDD505-2E9C-101B-9397-08002B2CF9AE}" pid="7" name="Data Origin">
    <vt:lpwstr>4021;#Entso-E|8b8da1a5-4bab-488a-80fd-9db3fbf777b9</vt:lpwstr>
  </property>
</Properties>
</file>